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6B34" w14:textId="6CA19F28" w:rsidR="000641C0" w:rsidRPr="00141663" w:rsidRDefault="00EA1002">
      <w:pPr>
        <w:rPr>
          <w:sz w:val="32"/>
          <w:szCs w:val="32"/>
        </w:rPr>
      </w:pPr>
      <w:r w:rsidRPr="00141663">
        <w:rPr>
          <w:sz w:val="32"/>
          <w:szCs w:val="32"/>
        </w:rPr>
        <w:t>Strategia Unii Oszczędności i Inwestycji (SIU)</w:t>
      </w:r>
    </w:p>
    <w:p w14:paraId="272EE0E7" w14:textId="77777777" w:rsidR="00141663" w:rsidRPr="00EA1002" w:rsidRDefault="00141663">
      <w:pPr>
        <w:rPr>
          <w:b/>
          <w:bCs/>
        </w:rPr>
      </w:pPr>
    </w:p>
    <w:p w14:paraId="4A9ED7A7" w14:textId="4C76D655" w:rsidR="00EA1002" w:rsidRDefault="00EA1002" w:rsidP="00141663">
      <w:pPr>
        <w:jc w:val="both"/>
      </w:pPr>
      <w:r w:rsidRPr="00624627">
        <w:t xml:space="preserve">Nadrzędnym celem Strategii </w:t>
      </w:r>
      <w:r>
        <w:t xml:space="preserve">Unii Oszczędności i </w:t>
      </w:r>
      <w:r w:rsidRPr="00624627">
        <w:t>Inwestycji (SIU) jest stworzenie zintegrowanego i zrównoważonego ekosystemu finansowego, który będzie skutecznie wspierał realizację kluczowych celów strategicznych Unii Europejskiej</w:t>
      </w:r>
      <w:r w:rsidR="00141663">
        <w:t>.</w:t>
      </w:r>
    </w:p>
    <w:p w14:paraId="47D11845" w14:textId="77777777" w:rsidR="00EA1002" w:rsidRDefault="00EA1002" w:rsidP="00141663">
      <w:pPr>
        <w:jc w:val="both"/>
      </w:pPr>
      <w:r w:rsidRPr="00624627">
        <w:t>W</w:t>
      </w:r>
      <w:r>
        <w:t xml:space="preserve"> </w:t>
      </w:r>
      <w:r w:rsidRPr="00624627">
        <w:t>szczególności chodzi o takie wyzwania, jak przeciwdziałanie zmianom klimatycznym, które wymagają dużych nakładów na zieloną transformację, innowacje technologiczne, wspieranie rozwoju nowoczesnych branż, jak i inwestowanie w sektor obronności.</w:t>
      </w:r>
      <w:r>
        <w:t xml:space="preserve"> </w:t>
      </w:r>
      <w:r w:rsidRPr="00624627">
        <w:t>W swoim raporcie o konkurencyjności Unii Europejskiej</w:t>
      </w:r>
      <w:r>
        <w:t xml:space="preserve"> z września 2024 r.</w:t>
      </w:r>
      <w:r w:rsidRPr="00624627">
        <w:t xml:space="preserve">, Mario </w:t>
      </w:r>
      <w:proofErr w:type="spellStart"/>
      <w:r w:rsidRPr="00624627">
        <w:t>Draghi</w:t>
      </w:r>
      <w:proofErr w:type="spellEnd"/>
      <w:r w:rsidRPr="00624627">
        <w:t xml:space="preserve"> wskaz</w:t>
      </w:r>
      <w:r>
        <w:t>ał</w:t>
      </w:r>
      <w:r w:rsidRPr="00624627">
        <w:t xml:space="preserve"> na pilną potrzebę zwiększenia inwestycji w tych kluczowych obszarach. Szacuje on, że do 2030 roku UE będzie musiała przeznaczyć dodatkowe 750-800 miliardów euro rocznie, aby zrealizować swoje </w:t>
      </w:r>
      <w:r>
        <w:t xml:space="preserve">strategiczne </w:t>
      </w:r>
      <w:r w:rsidRPr="00624627">
        <w:t>cele</w:t>
      </w:r>
      <w:r>
        <w:t>.</w:t>
      </w:r>
    </w:p>
    <w:p w14:paraId="1E53EFA7" w14:textId="77777777" w:rsidR="00EA1002" w:rsidRPr="00EA1002" w:rsidRDefault="00EA1002" w:rsidP="00EA1002">
      <w:pPr>
        <w:jc w:val="both"/>
        <w:rPr>
          <w:b/>
          <w:bCs/>
        </w:rPr>
      </w:pPr>
      <w:r w:rsidRPr="00EA1002">
        <w:rPr>
          <w:b/>
          <w:bCs/>
        </w:rPr>
        <w:t>Cztery obszary SIU</w:t>
      </w:r>
    </w:p>
    <w:p w14:paraId="151D904B" w14:textId="77777777" w:rsidR="00EA1002" w:rsidRPr="00B92667" w:rsidRDefault="00EA1002" w:rsidP="00EA1002">
      <w:pPr>
        <w:jc w:val="both"/>
      </w:pPr>
      <w:r w:rsidRPr="00B92667">
        <w:t>Komisja Europejska wyznacza cztery kluczowe obszar</w:t>
      </w:r>
      <w:r>
        <w:t xml:space="preserve"> SIU. </w:t>
      </w:r>
      <w:r w:rsidRPr="00B92667">
        <w:t xml:space="preserve">Pierwszym z </w:t>
      </w:r>
      <w:r>
        <w:t>nich</w:t>
      </w:r>
      <w:r w:rsidRPr="00B92667">
        <w:t xml:space="preserve"> jest </w:t>
      </w:r>
      <w:r w:rsidRPr="00EA1002">
        <w:rPr>
          <w:b/>
          <w:bCs/>
        </w:rPr>
        <w:t>wspieranie obywateli i ich oszczędności</w:t>
      </w:r>
      <w:r w:rsidRPr="00B92667">
        <w:t>. Obecnie</w:t>
      </w:r>
      <w:r>
        <w:t xml:space="preserve"> oszczędności</w:t>
      </w:r>
      <w:r w:rsidRPr="00B92667">
        <w:t xml:space="preserve"> obywatel</w:t>
      </w:r>
      <w:r>
        <w:t>i</w:t>
      </w:r>
      <w:r w:rsidRPr="00B92667">
        <w:t xml:space="preserve"> odgrywają </w:t>
      </w:r>
      <w:r>
        <w:t>ograniczoną</w:t>
      </w:r>
      <w:r w:rsidRPr="00B92667">
        <w:t xml:space="preserve"> rolę w finansowaniu gospodarki UE</w:t>
      </w:r>
      <w:r>
        <w:t xml:space="preserve">. </w:t>
      </w:r>
      <w:r w:rsidRPr="00B92667">
        <w:t xml:space="preserve">Komisja </w:t>
      </w:r>
      <w:r>
        <w:t>chce</w:t>
      </w:r>
      <w:r w:rsidRPr="00B92667">
        <w:t xml:space="preserve"> jednak umożliwić im, jeśli tego zechcą, przechowywanie części swoich oszczędności w bardziej dochodowych </w:t>
      </w:r>
      <w:r>
        <w:t>produktach.</w:t>
      </w:r>
      <w:r w:rsidRPr="00B92667">
        <w:t xml:space="preserve"> Dzięki temu obywatele będą mieli możliwość lepszego zabezpieczenia swojej przyszłości finansowej, szczególnie w kontekście oszczędności emerytalnych. Takie zmiany mają także na celu ożywienie rynku kapitałowego, który może przynieść korzyś</w:t>
      </w:r>
      <w:r>
        <w:t>ć</w:t>
      </w:r>
      <w:r w:rsidRPr="00B92667">
        <w:t xml:space="preserve"> zarówno </w:t>
      </w:r>
      <w:r>
        <w:t>klientom detalicznym</w:t>
      </w:r>
      <w:r w:rsidRPr="00B92667">
        <w:t>, jak i całej gospodarce</w:t>
      </w:r>
      <w:r>
        <w:t xml:space="preserve"> UE</w:t>
      </w:r>
      <w:r w:rsidRPr="00B92667">
        <w:t>.</w:t>
      </w:r>
    </w:p>
    <w:p w14:paraId="2A3550AF" w14:textId="77777777" w:rsidR="00EA1002" w:rsidRPr="00B92667" w:rsidRDefault="00EA1002" w:rsidP="00EA1002">
      <w:pPr>
        <w:jc w:val="both"/>
      </w:pPr>
      <w:r w:rsidRPr="00B92667">
        <w:t xml:space="preserve">Drugim obszarem, na który Komisja kładzie nacisk, są </w:t>
      </w:r>
      <w:r w:rsidRPr="00EA1002">
        <w:rPr>
          <w:b/>
          <w:bCs/>
        </w:rPr>
        <w:t>inwestycje i finansowanie</w:t>
      </w:r>
      <w:r w:rsidRPr="00B92667">
        <w:t xml:space="preserve">. W szczególności chodzi o pobudzenie inwestycji w kluczowe sektory gospodarki, które mają strategiczne znaczenie dla rozwoju Unii Europejskiej. Komisja planuje wdrożenie inicjatyw, które poprawią dostępność kapitału dla wszystkich przedsiębiorstw, a zwłaszcza dla małych i średnich firm. Dzięki takim inicjatywom </w:t>
      </w:r>
      <w:r>
        <w:t xml:space="preserve">– jak zakłada KE – </w:t>
      </w:r>
      <w:r w:rsidRPr="00B92667">
        <w:t>zwiększy się konkurencyjność gospodarki europejskiej na rynku międzynarodowym, a przedsiębiorstwa będą miały większe możliwości rozwoju.</w:t>
      </w:r>
    </w:p>
    <w:p w14:paraId="5A650F55" w14:textId="77777777" w:rsidR="00EA1002" w:rsidRPr="00B92667" w:rsidRDefault="00EA1002" w:rsidP="00EA1002">
      <w:pPr>
        <w:jc w:val="both"/>
      </w:pPr>
      <w:r w:rsidRPr="00B92667">
        <w:t xml:space="preserve">Trzecim obszarem jest </w:t>
      </w:r>
      <w:r w:rsidRPr="00EA1002">
        <w:rPr>
          <w:b/>
          <w:bCs/>
        </w:rPr>
        <w:t>integracja i skala</w:t>
      </w:r>
      <w:r w:rsidRPr="00B92667">
        <w:t xml:space="preserve">. Komisja dostrzega problem fragmentacji rynku, który powoduje liczne nieefektywności, utrudniając przedsiębiorstwom działalność transgraniczną. Komisja </w:t>
      </w:r>
      <w:r>
        <w:t xml:space="preserve">poprzez </w:t>
      </w:r>
      <w:r w:rsidRPr="00B92667">
        <w:t>eliminacj</w:t>
      </w:r>
      <w:r>
        <w:t>ę</w:t>
      </w:r>
      <w:r w:rsidRPr="00B92667">
        <w:t xml:space="preserve"> przeszkód regulacyjnych i nadzorczych</w:t>
      </w:r>
      <w:r>
        <w:t xml:space="preserve"> planuje </w:t>
      </w:r>
      <w:r w:rsidRPr="00B92667">
        <w:t>umożliwi</w:t>
      </w:r>
      <w:r>
        <w:t>ć</w:t>
      </w:r>
      <w:r w:rsidRPr="00B92667">
        <w:t xml:space="preserve"> przedsiębiorstwom rozwój na większą skalę. W efekcie firmy będą mogły efektywnie działać na całym rynku wewnętrznym UE, co pozwoli im osiągnąć lepsze wyniki i wzmacniać konkurencyjność całej gospodarki.</w:t>
      </w:r>
    </w:p>
    <w:p w14:paraId="720A0DD6" w14:textId="77777777" w:rsidR="00EA1002" w:rsidRPr="00B92667" w:rsidRDefault="00EA1002" w:rsidP="00EA1002">
      <w:pPr>
        <w:jc w:val="both"/>
      </w:pPr>
      <w:r w:rsidRPr="00B92667">
        <w:t>Ostatnim</w:t>
      </w:r>
      <w:r>
        <w:t xml:space="preserve"> </w:t>
      </w:r>
      <w:r w:rsidRPr="00B92667">
        <w:t xml:space="preserve">obszarem jest </w:t>
      </w:r>
      <w:r w:rsidRPr="00EA1002">
        <w:rPr>
          <w:b/>
          <w:bCs/>
        </w:rPr>
        <w:t>efektywny nadzór na jednolitym rynku</w:t>
      </w:r>
      <w:r w:rsidRPr="00B92667">
        <w:t>. Komisja Europejska zamierza wprowadzić środki, które zapewnią jednolite traktowanie uczestników rynku finansowego, bez względu na ich lokalizację w Unii. Działania te obejmują wzmocnienie narzędzi konwergencji oraz dostosowanie kompetencji nadzorczych między poziomem krajowym a unijnym. Celem tych zmian jest stworzenie spójnego i stabilnego środowiska rynkowego, które wspiera rozwój finansów w całej Unii, a także zapewnia bezpieczeństwo i zaufanie do systemu finansowego.</w:t>
      </w:r>
    </w:p>
    <w:p w14:paraId="66D937FA" w14:textId="77777777" w:rsidR="00141663" w:rsidRPr="00141663" w:rsidRDefault="00141663" w:rsidP="00141663">
      <w:pPr>
        <w:jc w:val="both"/>
        <w:rPr>
          <w:b/>
          <w:bCs/>
        </w:rPr>
      </w:pPr>
      <w:r w:rsidRPr="00141663">
        <w:rPr>
          <w:b/>
          <w:bCs/>
        </w:rPr>
        <w:t>Rola ubezpieczycieli w SIU według Komisji</w:t>
      </w:r>
    </w:p>
    <w:p w14:paraId="3645655C" w14:textId="77777777" w:rsidR="00141663" w:rsidRPr="00141663" w:rsidRDefault="00141663" w:rsidP="00141663">
      <w:pPr>
        <w:jc w:val="both"/>
      </w:pPr>
      <w:r w:rsidRPr="00141663">
        <w:t xml:space="preserve">W opublikowanym stanowisku Komisja podkreśla rolę zakładów ubezpieczeń jako kluczowych instytucji wspierających mobilizację kapitału w UE. Proponuje odpowiednie zmiany długoterminowego traktowania kapitału własnego w ramach delegowanego rozporządzenia </w:t>
      </w:r>
      <w:proofErr w:type="spellStart"/>
      <w:r w:rsidRPr="00141663">
        <w:t>Solvency</w:t>
      </w:r>
      <w:proofErr w:type="spellEnd"/>
      <w:r w:rsidRPr="00141663">
        <w:t xml:space="preserve"> II, co ma ułatwić inwestowanie przez ubezpieczycieli. Zwraca także uwagę na rolę ubezpieczycieli jako potencjalnych inwestorów w papiery wartościowe pochodzące z sekurytyzacji oraz na konieczność dostosowania </w:t>
      </w:r>
      <w:r w:rsidRPr="00141663">
        <w:lastRenderedPageBreak/>
        <w:t xml:space="preserve">wymogów ostrożnościowych na rynku ubezpieczeniowym, aby zwiększyć ich udział w finansowaniu gospodarki. Komisja wskazuje również na potrzebę zmniejszenia barier regulacyjnych, które ograniczają inwestycje instytucjonalne w kapitał własny, w tym w sektor venture </w:t>
      </w:r>
      <w:proofErr w:type="spellStart"/>
      <w:r w:rsidRPr="00141663">
        <w:t>capital</w:t>
      </w:r>
      <w:proofErr w:type="spellEnd"/>
      <w:r w:rsidRPr="00141663">
        <w:t xml:space="preserve"> i equity. W ten sposób Komisja chciałaby, żeby SIU stworzyła bardziej sprzyjające środowisko dla ubezpieczycieli, umożliwiając im większe zaangażowanie na rynkach kapitałowych i wspieranie długoterminowych inwestycji.</w:t>
      </w:r>
    </w:p>
    <w:p w14:paraId="10FE3225" w14:textId="77777777" w:rsidR="00EA1002" w:rsidRPr="00F15AC0" w:rsidRDefault="00EA1002" w:rsidP="00EA1002">
      <w:pPr>
        <w:jc w:val="both"/>
        <w:rPr>
          <w:b/>
          <w:bCs/>
        </w:rPr>
      </w:pPr>
      <w:r w:rsidRPr="00F15AC0">
        <w:rPr>
          <w:b/>
          <w:bCs/>
          <w:i/>
          <w:iCs/>
        </w:rPr>
        <w:t>Auto-</w:t>
      </w:r>
      <w:proofErr w:type="spellStart"/>
      <w:r w:rsidRPr="00F15AC0">
        <w:rPr>
          <w:b/>
          <w:bCs/>
          <w:i/>
          <w:iCs/>
        </w:rPr>
        <w:t>enrolment</w:t>
      </w:r>
      <w:proofErr w:type="spellEnd"/>
      <w:r w:rsidRPr="00F15AC0">
        <w:rPr>
          <w:b/>
          <w:bCs/>
        </w:rPr>
        <w:t xml:space="preserve"> jako katalizator rozwoju systemów emerytalnych</w:t>
      </w:r>
    </w:p>
    <w:p w14:paraId="02D66E64" w14:textId="77777777" w:rsidR="00EA1002" w:rsidRPr="00F15AC0" w:rsidRDefault="00EA1002" w:rsidP="00EA1002">
      <w:pPr>
        <w:jc w:val="both"/>
      </w:pPr>
      <w:r w:rsidRPr="00F15AC0">
        <w:t>Komisja Europejska zwraca szczególną uwagę na mechanizm automatycznego zapisu (auto-</w:t>
      </w:r>
      <w:proofErr w:type="spellStart"/>
      <w:r w:rsidRPr="00F15AC0">
        <w:t>enrolment</w:t>
      </w:r>
      <w:proofErr w:type="spellEnd"/>
      <w:r w:rsidRPr="00F15AC0">
        <w:t>) jako narzędzie, które może znacznie zwiększyć udział pracowników w dodatkowych programach emerytalnych. Poprzez wprowadzenie tego rozwiązania na większą skalę, obywatele mogliby łatwiej i efektywniej oszczędzać na emeryturę, co z kolei zwiększałoby dostępne środki na inwestycje długoterminowe. Aby zwiększyć świadomość obywateli na temat ich przyszłych świadczeń, Komisja planuje także promowanie systemów śledzenia emerytur (</w:t>
      </w:r>
      <w:proofErr w:type="spellStart"/>
      <w:r w:rsidRPr="00F15AC0">
        <w:t>pension</w:t>
      </w:r>
      <w:proofErr w:type="spellEnd"/>
      <w:r w:rsidRPr="00F15AC0">
        <w:t xml:space="preserve"> </w:t>
      </w:r>
      <w:proofErr w:type="spellStart"/>
      <w:r w:rsidRPr="00F15AC0">
        <w:t>tracking</w:t>
      </w:r>
      <w:proofErr w:type="spellEnd"/>
      <w:r w:rsidRPr="00F15AC0">
        <w:t xml:space="preserve"> </w:t>
      </w:r>
      <w:proofErr w:type="spellStart"/>
      <w:r w:rsidRPr="00F15AC0">
        <w:t>systems</w:t>
      </w:r>
      <w:proofErr w:type="spellEnd"/>
      <w:r w:rsidRPr="00F15AC0">
        <w:t>) oraz paneli informacyjnych (</w:t>
      </w:r>
      <w:proofErr w:type="spellStart"/>
      <w:r w:rsidRPr="00F15AC0">
        <w:t>pension</w:t>
      </w:r>
      <w:proofErr w:type="spellEnd"/>
      <w:r w:rsidRPr="00F15AC0">
        <w:t xml:space="preserve"> </w:t>
      </w:r>
      <w:proofErr w:type="spellStart"/>
      <w:r w:rsidRPr="00F15AC0">
        <w:t>dashboards</w:t>
      </w:r>
      <w:proofErr w:type="spellEnd"/>
      <w:r w:rsidRPr="00F15AC0">
        <w:t>), które ułatwią obywatelom planowanie ich przyszłych dochodów.</w:t>
      </w:r>
    </w:p>
    <w:p w14:paraId="7755A799" w14:textId="77777777" w:rsidR="00EA1002" w:rsidRPr="00F15AC0" w:rsidRDefault="00EA1002" w:rsidP="00EA1002">
      <w:pPr>
        <w:jc w:val="both"/>
        <w:rPr>
          <w:b/>
          <w:bCs/>
        </w:rPr>
      </w:pPr>
      <w:r>
        <w:rPr>
          <w:b/>
          <w:bCs/>
        </w:rPr>
        <w:t>Konieczna zmiana IORP i PEPP</w:t>
      </w:r>
    </w:p>
    <w:p w14:paraId="2C0B9E68" w14:textId="77777777" w:rsidR="00EA1002" w:rsidRDefault="00EA1002" w:rsidP="00EA1002">
      <w:pPr>
        <w:jc w:val="both"/>
      </w:pPr>
      <w:r w:rsidRPr="00F15AC0">
        <w:t>Komisja Europejska zauważa, że obecne regulacje dotyczące instytucji emerytalnych (</w:t>
      </w:r>
      <w:proofErr w:type="spellStart"/>
      <w:r w:rsidRPr="00F15AC0">
        <w:t>IORPs</w:t>
      </w:r>
      <w:proofErr w:type="spellEnd"/>
      <w:r w:rsidRPr="00F15AC0">
        <w:t xml:space="preserve">) oraz paneuropejskiego produktu emerytalnego (PEPP) nie osiągnęły zakładanych celów. Sektor ten zmaga się z problemami takimi jak zbyt mała skala działalności podmiotów, fragmentacja rynku, wysokie koszty oraz brak powszechnej znajomości dostępnych produktów. </w:t>
      </w:r>
      <w:r>
        <w:t xml:space="preserve">Ograniczenia te zdaniem Komisji skutkują ograniczeniem </w:t>
      </w:r>
      <w:r w:rsidRPr="00F15AC0">
        <w:t>możliwości inwestycyjnych</w:t>
      </w:r>
      <w:r>
        <w:t>.</w:t>
      </w:r>
    </w:p>
    <w:p w14:paraId="54C8D612" w14:textId="77777777" w:rsidR="00EA1002" w:rsidRPr="003B18D6" w:rsidRDefault="00EA1002" w:rsidP="00EA1002">
      <w:pPr>
        <w:jc w:val="both"/>
        <w:rPr>
          <w:b/>
          <w:bCs/>
        </w:rPr>
      </w:pPr>
      <w:r>
        <w:rPr>
          <w:b/>
          <w:bCs/>
        </w:rPr>
        <w:t>Uwagi polskiego rynku do p</w:t>
      </w:r>
      <w:r w:rsidRPr="003B18D6">
        <w:rPr>
          <w:b/>
          <w:bCs/>
        </w:rPr>
        <w:t>ropozycja jednolitego europejskiego produktu emerytalnego</w:t>
      </w:r>
    </w:p>
    <w:p w14:paraId="37C945A9" w14:textId="77777777" w:rsidR="00EA1002" w:rsidRPr="00211395" w:rsidRDefault="00EA1002" w:rsidP="00EA1002">
      <w:pPr>
        <w:jc w:val="both"/>
      </w:pPr>
      <w:r w:rsidRPr="0079745F">
        <w:t>Długoterminowe produkty oszczędnościowe, szczególnie emerytalne, są regulowane na poziomie krajowym</w:t>
      </w:r>
      <w:r>
        <w:t xml:space="preserve">. Raport </w:t>
      </w:r>
      <w:proofErr w:type="spellStart"/>
      <w:r>
        <w:t>Draghi’ego</w:t>
      </w:r>
      <w:proofErr w:type="spellEnd"/>
      <w:r>
        <w:t xml:space="preserve"> wskazuje jednak</w:t>
      </w:r>
      <w:r w:rsidRPr="0079745F">
        <w:t xml:space="preserve"> </w:t>
      </w:r>
      <w:r>
        <w:t>na</w:t>
      </w:r>
      <w:r w:rsidRPr="0079745F">
        <w:t xml:space="preserve"> potrzeb</w:t>
      </w:r>
      <w:r>
        <w:t>ę</w:t>
      </w:r>
      <w:r w:rsidRPr="0079745F">
        <w:t xml:space="preserve"> większej harmonizacji przepisów</w:t>
      </w:r>
      <w:r>
        <w:t xml:space="preserve"> w tym zakresie</w:t>
      </w:r>
      <w:r w:rsidRPr="0079745F">
        <w:t xml:space="preserve"> na poziomie unijnym</w:t>
      </w:r>
      <w:r>
        <w:t xml:space="preserve">, w tym na stworzenie jednolitego unijnego produktu emerytalnego. Przykład PEPP pokazuje jednak, że produkt, który </w:t>
      </w:r>
      <w:r w:rsidRPr="004D63AC">
        <w:t>miał być kluczowym narzędziem w tworzeniu jednolitego europejskiego rynku emerytalnego, jest</w:t>
      </w:r>
      <w:r>
        <w:t xml:space="preserve"> w rzeczywistości</w:t>
      </w:r>
      <w:r w:rsidRPr="004D63AC">
        <w:t xml:space="preserve"> przykładem nieudanej inicjatywy regulacyjnej na poziomie UE</w:t>
      </w:r>
      <w:r>
        <w:t>. P</w:t>
      </w:r>
      <w:r w:rsidRPr="004D63AC">
        <w:t>rowadzi</w:t>
      </w:r>
      <w:r>
        <w:t xml:space="preserve"> to</w:t>
      </w:r>
      <w:r w:rsidRPr="004D63AC">
        <w:t xml:space="preserve"> do wniosku, że obecny model europejskich produktów emerytalnych nie funkcjonuje zgodnie z założeniami.</w:t>
      </w:r>
    </w:p>
    <w:p w14:paraId="3F82250F" w14:textId="77777777" w:rsidR="00EA1002" w:rsidRDefault="00EA1002" w:rsidP="00EA1002">
      <w:pPr>
        <w:jc w:val="both"/>
      </w:pPr>
      <w:r w:rsidRPr="004D63AC">
        <w:t>Jednym z głównych powodów niepowodzenia PEPP jest brak odpowiednich zachęt podatkowych na poziomie europejskim. Każde państwo członkowskie posiada własne zasady dotyczące opodatkowania oszczędności emerytalnych, a PEPP nie był w stanie zaoferować zharmonizowanych ulg podatkowych, które zachęciłyby do korzystania z tego produktu na szeroką skalę. W praktyce, różne systemy podatkowe w UE sprawiają, że PEPP jest mniej opłacalny niż krajowe alternatywy emerytalne, co prowadzi do jego marginalizacji.</w:t>
      </w:r>
    </w:p>
    <w:p w14:paraId="7ED480EB" w14:textId="77777777" w:rsidR="00EA1002" w:rsidRPr="004D63AC" w:rsidRDefault="00EA1002" w:rsidP="00EA1002">
      <w:pPr>
        <w:jc w:val="both"/>
      </w:pPr>
      <w:r>
        <w:t xml:space="preserve">W szczególności </w:t>
      </w:r>
      <w:r w:rsidRPr="004D63AC">
        <w:t>PEPP spotkał się z krytyką ze względu na zbyt niski limit kosztów, co stanowiło poważne wyzwanie</w:t>
      </w:r>
      <w:r>
        <w:t>, w szczególności</w:t>
      </w:r>
      <w:r w:rsidRPr="004D63AC">
        <w:t xml:space="preserve"> dla firm ubezpieczeniowych. Ustalony pułap opłat okazał się niewystarczający, aby pokryć koszty związane z zarządzaniem produktem, w tym koszty operacyjne, dostosowanie systemów IT oraz obsługę różnorodnych wymogów regulacyjnych i transgranicznych świadczeń.</w:t>
      </w:r>
    </w:p>
    <w:p w14:paraId="3962BAB9" w14:textId="77777777" w:rsidR="00EA1002" w:rsidRDefault="00EA1002" w:rsidP="00EA1002">
      <w:pPr>
        <w:jc w:val="both"/>
      </w:pPr>
      <w:r>
        <w:t>Proponowany w ramach SIU r</w:t>
      </w:r>
      <w:r w:rsidRPr="00DB14C1">
        <w:t xml:space="preserve">ozwój kapitałowych systemów emerytalnych powinien uwzględniać </w:t>
      </w:r>
      <w:r>
        <w:t>również</w:t>
      </w:r>
      <w:r w:rsidRPr="00DB14C1">
        <w:t xml:space="preserve"> ubezpieczycieli</w:t>
      </w:r>
      <w:r>
        <w:t xml:space="preserve"> i specyfikę działalności ubezpieczeniowej.</w:t>
      </w:r>
      <w:r w:rsidRPr="00DB14C1">
        <w:t xml:space="preserve"> Kluczowe jest, aby regulacje były elastyczne i dostosowane do realiów rynkowych, co przyczyni się do wzrostu zainteresowania produktami emerytalnymi</w:t>
      </w:r>
      <w:r>
        <w:t xml:space="preserve"> na lokalnych rynkach w UE</w:t>
      </w:r>
      <w:r w:rsidRPr="00DB14C1">
        <w:t xml:space="preserve"> i efektywniejszego kierowania funduszy na rynki kapitałowe. Aktywne zaangażowanie sektora ubezpieczeń w</w:t>
      </w:r>
      <w:r>
        <w:t xml:space="preserve"> ten</w:t>
      </w:r>
      <w:r w:rsidRPr="00DB14C1">
        <w:t xml:space="preserve"> proces </w:t>
      </w:r>
      <w:r>
        <w:t xml:space="preserve">jest istotne. </w:t>
      </w:r>
    </w:p>
    <w:p w14:paraId="1BA20EB8" w14:textId="77777777" w:rsidR="00EA1002" w:rsidRDefault="00EA1002" w:rsidP="00EA1002">
      <w:pPr>
        <w:jc w:val="both"/>
      </w:pPr>
      <w:r w:rsidRPr="00DB14C1">
        <w:lastRenderedPageBreak/>
        <w:t xml:space="preserve">Regulacje w </w:t>
      </w:r>
      <w:r>
        <w:t>tym zakresie</w:t>
      </w:r>
      <w:r w:rsidRPr="00DB14C1">
        <w:t xml:space="preserve"> powinny oferować odpowiednie zachęty</w:t>
      </w:r>
      <w:r>
        <w:t xml:space="preserve"> dla instytucji, w tym zakładów ubezpieczeń,</w:t>
      </w:r>
      <w:r w:rsidRPr="00DB14C1">
        <w:t xml:space="preserve"> do angażowania się w rozwój innowacyjnych produktów emerytalnych. Może to obejmować</w:t>
      </w:r>
      <w:r>
        <w:t xml:space="preserve"> m.in.</w:t>
      </w:r>
      <w:r w:rsidRPr="00DB14C1">
        <w:t xml:space="preserve"> ulgi podatkowe, które zwiększą atrakcyjność produktów dla klientów, a jednocześnie pozwolą ubezpieczycielom na osiąganie stabilnych zwrotów </w:t>
      </w:r>
      <w:r>
        <w:t>dla klientów w tych produktach</w:t>
      </w:r>
      <w:r w:rsidRPr="00DB14C1">
        <w:t>.</w:t>
      </w:r>
    </w:p>
    <w:p w14:paraId="2AE89B55" w14:textId="77777777" w:rsidR="00EA1002" w:rsidRDefault="00EA1002"/>
    <w:sectPr w:rsidR="00EA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048"/>
    <w:multiLevelType w:val="hybridMultilevel"/>
    <w:tmpl w:val="DF462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67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02"/>
    <w:rsid w:val="000641C0"/>
    <w:rsid w:val="00141663"/>
    <w:rsid w:val="006D67F4"/>
    <w:rsid w:val="00795D28"/>
    <w:rsid w:val="00987A2D"/>
    <w:rsid w:val="00E40CB7"/>
    <w:rsid w:val="00EA1002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38A3"/>
  <w15:chartTrackingRefBased/>
  <w15:docId w15:val="{F34C611A-7117-4102-B14C-587884D3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1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1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10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1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10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1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1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1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1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1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1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10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10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10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10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10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10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10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1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1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1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1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1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10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10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10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1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10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1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Dziekański</dc:creator>
  <cp:keywords/>
  <dc:description/>
  <cp:lastModifiedBy>Artur Dziekański</cp:lastModifiedBy>
  <cp:revision>2</cp:revision>
  <dcterms:created xsi:type="dcterms:W3CDTF">2025-03-20T08:18:00Z</dcterms:created>
  <dcterms:modified xsi:type="dcterms:W3CDTF">2025-03-20T08:18:00Z</dcterms:modified>
</cp:coreProperties>
</file>