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B544E" w14:textId="18656A12" w:rsidR="00FB5182" w:rsidRDefault="00FB5182" w:rsidP="00FB5182">
      <w:pPr>
        <w:ind w:left="720" w:hanging="360"/>
        <w:jc w:val="both"/>
      </w:pPr>
      <w:r>
        <w:t>Spis treści nr 2/2024</w:t>
      </w:r>
    </w:p>
    <w:p w14:paraId="5535D86D" w14:textId="77777777" w:rsidR="00FB5182" w:rsidRDefault="00FB5182" w:rsidP="00FB5182">
      <w:pPr>
        <w:ind w:left="720" w:hanging="360"/>
        <w:jc w:val="both"/>
      </w:pPr>
    </w:p>
    <w:p w14:paraId="06913DDC" w14:textId="19EB169B" w:rsidR="00FB5182" w:rsidRPr="00FB5182" w:rsidRDefault="00FB5182" w:rsidP="00FB5182">
      <w:pPr>
        <w:pStyle w:val="paragraph"/>
        <w:numPr>
          <w:ilvl w:val="0"/>
          <w:numId w:val="2"/>
        </w:numPr>
        <w:spacing w:before="0" w:after="0"/>
        <w:jc w:val="both"/>
        <w:rPr>
          <w:lang w:val="en-GB"/>
        </w:rPr>
      </w:pPr>
      <w:r w:rsidRPr="00FB5182">
        <w:rPr>
          <w:b/>
          <w:bCs/>
          <w:color w:val="222222"/>
          <w:kern w:val="0"/>
          <w:lang w:val="en-US"/>
        </w:rPr>
        <w:t>Dariusz Fuchs</w:t>
      </w:r>
      <w:r w:rsidRPr="00FB5182">
        <w:rPr>
          <w:color w:val="222222"/>
          <w:kern w:val="0"/>
          <w:lang w:val="en-US"/>
        </w:rPr>
        <w:t> - </w:t>
      </w:r>
      <w:r w:rsidRPr="00FB5182">
        <w:rPr>
          <w:b/>
          <w:bCs/>
          <w:color w:val="000000"/>
          <w:lang w:val="en-GB"/>
        </w:rPr>
        <w:t xml:space="preserve">Considerations on insurance recourse and the status of the consumer in motor third-party liability insurance – comments on the background of the preliminary inquiry submitted to the Court of Justice of the EU by the </w:t>
      </w:r>
      <w:proofErr w:type="spellStart"/>
      <w:r w:rsidRPr="00FB5182">
        <w:rPr>
          <w:b/>
          <w:bCs/>
          <w:color w:val="000000"/>
          <w:lang w:val="en-GB"/>
        </w:rPr>
        <w:t>rajonen</w:t>
      </w:r>
      <w:proofErr w:type="spellEnd"/>
      <w:r w:rsidRPr="00FB5182">
        <w:rPr>
          <w:b/>
          <w:bCs/>
          <w:color w:val="000000"/>
          <w:lang w:val="en-GB"/>
        </w:rPr>
        <w:t xml:space="preserve"> sad in Sofia, Bulgaria, on June 26, 2023 – ZD ‘BUL INS’ AD vs PV (Case C-387/23, BUL INS)</w:t>
      </w:r>
    </w:p>
    <w:p w14:paraId="313050C3" w14:textId="58DADF63" w:rsidR="00FB5182" w:rsidRPr="00FB5182" w:rsidRDefault="00FB5182" w:rsidP="00FB5182">
      <w:pPr>
        <w:ind w:firstLine="60"/>
        <w:jc w:val="both"/>
        <w:rPr>
          <w:rFonts w:ascii="Times New Roman" w:eastAsia="Times New Roman" w:hAnsi="Times New Roman" w:cs="Times New Roman"/>
          <w:color w:val="222222"/>
          <w:kern w:val="0"/>
          <w:lang w:val="en-US" w:eastAsia="pl-PL"/>
          <w14:ligatures w14:val="none"/>
        </w:rPr>
      </w:pPr>
    </w:p>
    <w:p w14:paraId="259707B5" w14:textId="095C8E4E" w:rsidR="00FB5182" w:rsidRPr="00FB5182" w:rsidRDefault="00FB5182" w:rsidP="00FB5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 xml:space="preserve">Dorota </w:t>
      </w:r>
      <w:proofErr w:type="spellStart"/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Maśniak</w:t>
      </w:r>
      <w:proofErr w:type="spellEnd"/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 xml:space="preserve"> </w:t>
      </w:r>
      <w:proofErr w:type="gramStart"/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 xml:space="preserve">- </w:t>
      </w:r>
      <w:r w:rsidRPr="00FB5182">
        <w:rPr>
          <w:rFonts w:ascii="Times New Roman" w:hAnsi="Times New Roman" w:cs="Times New Roman"/>
          <w:b/>
          <w:bCs/>
        </w:rPr>
        <w:t xml:space="preserve"> </w:t>
      </w:r>
      <w:r w:rsidRPr="00FB5182">
        <w:rPr>
          <w:rFonts w:ascii="Times New Roman" w:hAnsi="Times New Roman" w:cs="Times New Roman"/>
          <w:b/>
          <w:bCs/>
        </w:rPr>
        <w:t>Regres</w:t>
      </w:r>
      <w:proofErr w:type="gramEnd"/>
      <w:r w:rsidRPr="00FB5182">
        <w:rPr>
          <w:rFonts w:ascii="Times New Roman" w:hAnsi="Times New Roman" w:cs="Times New Roman"/>
          <w:b/>
          <w:bCs/>
        </w:rPr>
        <w:t xml:space="preserve"> ubezpieczeniowy w ubezpieczeniach na cudzy rachunek </w:t>
      </w:r>
    </w:p>
    <w:p w14:paraId="519EB004" w14:textId="77777777" w:rsidR="00FB5182" w:rsidRPr="00FB5182" w:rsidRDefault="00FB5182" w:rsidP="00FB5182">
      <w:pPr>
        <w:pStyle w:val="Tyt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B5182">
        <w:rPr>
          <w:rFonts w:ascii="Times New Roman" w:hAnsi="Times New Roman" w:cs="Times New Roman"/>
          <w:sz w:val="24"/>
          <w:szCs w:val="24"/>
          <w:lang w:val="en-US"/>
        </w:rPr>
        <w:t>Łukasz</w:t>
      </w:r>
      <w:proofErr w:type="spellEnd"/>
      <w:r w:rsidRPr="00FB51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82">
        <w:rPr>
          <w:rFonts w:ascii="Times New Roman" w:hAnsi="Times New Roman" w:cs="Times New Roman"/>
          <w:sz w:val="24"/>
          <w:szCs w:val="24"/>
          <w:lang w:val="en-US"/>
        </w:rPr>
        <w:t>Kuryłowicz</w:t>
      </w:r>
      <w:proofErr w:type="spellEnd"/>
      <w:r w:rsidRPr="00FB518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B5182">
        <w:rPr>
          <w:rFonts w:ascii="Times New Roman" w:hAnsi="Times New Roman" w:cs="Times New Roman"/>
          <w:sz w:val="24"/>
          <w:szCs w:val="24"/>
          <w:lang w:val="en-US"/>
        </w:rPr>
        <w:t>Jakša</w:t>
      </w:r>
      <w:proofErr w:type="spellEnd"/>
      <w:r w:rsidRPr="00FB51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5182">
        <w:rPr>
          <w:rFonts w:ascii="Times New Roman" w:hAnsi="Times New Roman" w:cs="Times New Roman"/>
          <w:sz w:val="24"/>
          <w:szCs w:val="24"/>
          <w:lang w:val="en-US"/>
        </w:rPr>
        <w:t>Krišto</w:t>
      </w:r>
      <w:proofErr w:type="spellEnd"/>
      <w:r w:rsidRPr="00FB518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FB5182">
        <w:rPr>
          <w:rFonts w:ascii="Times New Roman" w:hAnsi="Times New Roman" w:cs="Times New Roman"/>
          <w:sz w:val="24"/>
          <w:szCs w:val="24"/>
          <w:lang w:val="en-US"/>
        </w:rPr>
        <w:t>On-demand insurance: idea, development, impact on market equilibrium</w:t>
      </w:r>
    </w:p>
    <w:p w14:paraId="4A3CC3EA" w14:textId="392FB50E" w:rsidR="00FB5182" w:rsidRPr="00FB5182" w:rsidRDefault="00FB5182" w:rsidP="00FB5182">
      <w:pPr>
        <w:pStyle w:val="Akapitzlist"/>
        <w:numPr>
          <w:ilvl w:val="0"/>
          <w:numId w:val="2"/>
        </w:numPr>
        <w:tabs>
          <w:tab w:val="left" w:pos="1985"/>
        </w:tabs>
        <w:spacing w:line="360" w:lineRule="auto"/>
        <w:rPr>
          <w:rFonts w:ascii="Times New Roman" w:hAnsi="Times New Roman" w:cs="Times New Roman"/>
          <w:b/>
          <w:bCs/>
        </w:rPr>
      </w:pPr>
      <w:r w:rsidRPr="00FB5182">
        <w:rPr>
          <w:rFonts w:ascii="Times New Roman" w:eastAsia="Times New Roman" w:hAnsi="Times New Roman" w:cs="Times New Roman"/>
          <w:b/>
          <w:bCs/>
          <w:color w:val="500050"/>
          <w:kern w:val="0"/>
          <w:lang w:eastAsia="pl-PL"/>
          <w14:ligatures w14:val="none"/>
        </w:rPr>
        <w:t xml:space="preserve">Oskar </w:t>
      </w:r>
      <w:proofErr w:type="gramStart"/>
      <w:r w:rsidRPr="00FB5182">
        <w:rPr>
          <w:rFonts w:ascii="Times New Roman" w:eastAsia="Times New Roman" w:hAnsi="Times New Roman" w:cs="Times New Roman"/>
          <w:b/>
          <w:bCs/>
          <w:color w:val="500050"/>
          <w:kern w:val="0"/>
          <w:lang w:eastAsia="pl-PL"/>
          <w14:ligatures w14:val="none"/>
        </w:rPr>
        <w:t>Zgonina  -</w:t>
      </w:r>
      <w:proofErr w:type="gramEnd"/>
      <w:r w:rsidRPr="00FB5182">
        <w:rPr>
          <w:rFonts w:ascii="Times New Roman" w:eastAsia="Times New Roman" w:hAnsi="Times New Roman" w:cs="Times New Roman"/>
          <w:b/>
          <w:bCs/>
          <w:color w:val="500050"/>
          <w:kern w:val="0"/>
          <w:lang w:eastAsia="pl-PL"/>
          <w14:ligatures w14:val="none"/>
        </w:rPr>
        <w:t xml:space="preserve"> </w:t>
      </w:r>
      <w:r w:rsidRPr="00FB5182">
        <w:rPr>
          <w:rFonts w:ascii="Times New Roman" w:hAnsi="Times New Roman" w:cs="Times New Roman"/>
          <w:b/>
          <w:bCs/>
        </w:rPr>
        <w:t>Standardy analizy wymagań i potrzeb klienta w procesie dystrybucji ubezpieczeń w Niemczech</w:t>
      </w:r>
    </w:p>
    <w:p w14:paraId="2E69804C" w14:textId="72DB75CD" w:rsidR="00FB5182" w:rsidRPr="00110883" w:rsidRDefault="00110883" w:rsidP="001108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 w:rsidRPr="00110883">
        <w:rPr>
          <w:rFonts w:ascii="Times New Roman" w:hAnsi="Times New Roman" w:cs="Times New Roman"/>
          <w:b/>
          <w:bCs/>
        </w:rPr>
        <w:t>Engjell</w:t>
      </w:r>
      <w:proofErr w:type="spellEnd"/>
      <w:r w:rsidRPr="00110883">
        <w:rPr>
          <w:rFonts w:ascii="Times New Roman" w:hAnsi="Times New Roman" w:cs="Times New Roman"/>
          <w:b/>
          <w:bCs/>
        </w:rPr>
        <w:t xml:space="preserve"> Sokoli</w:t>
      </w:r>
      <w:r>
        <w:rPr>
          <w:rFonts w:ascii="Times New Roman" w:hAnsi="Times New Roman" w:cs="Times New Roman"/>
          <w:b/>
          <w:bCs/>
        </w:rPr>
        <w:t xml:space="preserve"> </w:t>
      </w:r>
      <w:r w:rsidR="00FB5182" w:rsidRPr="00110883">
        <w:rPr>
          <w:rFonts w:ascii="Times New Roman" w:eastAsia="Times New Roman" w:hAnsi="Times New Roman" w:cs="Times New Roman"/>
          <w:color w:val="500050"/>
          <w:kern w:val="0"/>
          <w:lang w:eastAsia="pl-PL"/>
          <w14:ligatures w14:val="none"/>
        </w:rPr>
        <w:t>- </w:t>
      </w:r>
      <w:r w:rsidR="00FB5182" w:rsidRPr="00110883">
        <w:rPr>
          <w:rFonts w:ascii="Times New Roman" w:hAnsi="Times New Roman" w:cs="Times New Roman"/>
        </w:rPr>
        <w:t>Wpływ dyrektywy IDD na regulację umowy ubezpieczenia w Wielkiej Brytanii</w:t>
      </w:r>
    </w:p>
    <w:p w14:paraId="75353CA2" w14:textId="08DC9B99" w:rsidR="00FB5182" w:rsidRPr="00FB5182" w:rsidRDefault="00FB5182" w:rsidP="00FB5182">
      <w:pPr>
        <w:pStyle w:val="Akapitzlist"/>
        <w:spacing w:line="235" w:lineRule="atLeast"/>
        <w:rPr>
          <w:rFonts w:ascii="Times New Roman" w:eastAsia="Times New Roman" w:hAnsi="Times New Roman" w:cs="Times New Roman"/>
          <w:color w:val="500050"/>
          <w:kern w:val="0"/>
          <w:lang w:eastAsia="pl-PL"/>
          <w14:ligatures w14:val="none"/>
        </w:rPr>
      </w:pPr>
      <w:r w:rsidRPr="00FB5182">
        <w:rPr>
          <w:rFonts w:ascii="Times New Roman" w:eastAsia="Times New Roman" w:hAnsi="Times New Roman" w:cs="Times New Roman"/>
          <w:color w:val="500050"/>
          <w:kern w:val="0"/>
          <w:lang w:eastAsia="pl-PL"/>
          <w14:ligatures w14:val="none"/>
        </w:rPr>
        <w:t xml:space="preserve">Glosy: </w:t>
      </w:r>
      <w:r w:rsidRPr="00FB5182"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  <w:t> </w:t>
      </w:r>
    </w:p>
    <w:p w14:paraId="1664087E" w14:textId="0CD90616" w:rsidR="00FB5182" w:rsidRPr="00FB5182" w:rsidRDefault="00FB5182" w:rsidP="00FB5182">
      <w:pPr>
        <w:pStyle w:val="Akapitzlist"/>
        <w:numPr>
          <w:ilvl w:val="0"/>
          <w:numId w:val="2"/>
        </w:numPr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 xml:space="preserve">Michał P. </w:t>
      </w:r>
      <w:proofErr w:type="spellStart"/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Ziemiak</w:t>
      </w:r>
      <w:proofErr w:type="spellEnd"/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 xml:space="preserve"> - Obowiązki przedkontraktowe w ubezpieczeniach grupowych. Glosa do </w:t>
      </w:r>
      <w:proofErr w:type="spellStart"/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>wyrokuTrybunału</w:t>
      </w:r>
      <w:proofErr w:type="spellEnd"/>
      <w:r w:rsidRPr="00FB5182">
        <w:rPr>
          <w:rFonts w:ascii="Times New Roman" w:eastAsia="Times New Roman" w:hAnsi="Times New Roman" w:cs="Times New Roman"/>
          <w:b/>
          <w:bCs/>
          <w:color w:val="222222"/>
          <w:kern w:val="0"/>
          <w:lang w:eastAsia="pl-PL"/>
          <w14:ligatures w14:val="none"/>
        </w:rPr>
        <w:t xml:space="preserve"> Sprawiedliwości UE z dnia 20 kwietnia 2023 roku, C-263/22, </w:t>
      </w:r>
      <w:proofErr w:type="spellStart"/>
      <w:r w:rsidRPr="00FB5182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Ocidental</w:t>
      </w:r>
      <w:proofErr w:type="spellEnd"/>
      <w:r w:rsidRPr="00FB5182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 xml:space="preserve"> – </w:t>
      </w:r>
      <w:proofErr w:type="spellStart"/>
      <w:r w:rsidRPr="00FB5182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Companhia</w:t>
      </w:r>
      <w:proofErr w:type="spellEnd"/>
      <w:r w:rsidRPr="00FB5182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 xml:space="preserve"> Portuguesa de </w:t>
      </w:r>
      <w:proofErr w:type="spellStart"/>
      <w:r w:rsidRPr="00FB5182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>Seguros</w:t>
      </w:r>
      <w:proofErr w:type="spellEnd"/>
      <w:r w:rsidRPr="00FB5182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lang w:eastAsia="pl-PL"/>
          <w14:ligatures w14:val="none"/>
        </w:rPr>
        <w:t xml:space="preserve"> de Vida SA przeciwko LP</w:t>
      </w:r>
    </w:p>
    <w:p w14:paraId="16A683FF" w14:textId="6C0E1F44" w:rsidR="00FB5182" w:rsidRPr="00FB5182" w:rsidRDefault="00FB5182" w:rsidP="00FB5182">
      <w:pPr>
        <w:spacing w:line="235" w:lineRule="atLeast"/>
        <w:ind w:firstLine="60"/>
        <w:rPr>
          <w:rFonts w:ascii="Times New Roman" w:eastAsia="Times New Roman" w:hAnsi="Times New Roman" w:cs="Times New Roman"/>
          <w:color w:val="222222"/>
          <w:kern w:val="0"/>
          <w:lang w:eastAsia="pl-PL"/>
          <w14:ligatures w14:val="none"/>
        </w:rPr>
      </w:pPr>
    </w:p>
    <w:p w14:paraId="1DF4525F" w14:textId="77777777" w:rsidR="00D646FF" w:rsidRPr="00FB5182" w:rsidRDefault="00D646FF">
      <w:pPr>
        <w:rPr>
          <w:rFonts w:ascii="Times New Roman" w:hAnsi="Times New Roman" w:cs="Times New Roman"/>
        </w:rPr>
      </w:pPr>
    </w:p>
    <w:sectPr w:rsidR="00D646FF" w:rsidRPr="00FB5182" w:rsidSect="00C9066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51A2C" w14:textId="77777777" w:rsidR="00467E4A" w:rsidRDefault="00467E4A" w:rsidP="00FB5182">
      <w:r>
        <w:separator/>
      </w:r>
    </w:p>
  </w:endnote>
  <w:endnote w:type="continuationSeparator" w:id="0">
    <w:p w14:paraId="3DB46DF0" w14:textId="77777777" w:rsidR="00467E4A" w:rsidRDefault="00467E4A" w:rsidP="00FB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C646A" w14:textId="77777777" w:rsidR="00467E4A" w:rsidRDefault="00467E4A" w:rsidP="00FB5182">
      <w:r>
        <w:separator/>
      </w:r>
    </w:p>
  </w:footnote>
  <w:footnote w:type="continuationSeparator" w:id="0">
    <w:p w14:paraId="107FC956" w14:textId="77777777" w:rsidR="00467E4A" w:rsidRDefault="00467E4A" w:rsidP="00FB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D5ADC"/>
    <w:multiLevelType w:val="hybridMultilevel"/>
    <w:tmpl w:val="E7D805B4"/>
    <w:lvl w:ilvl="0" w:tplc="7E261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E1E71"/>
    <w:multiLevelType w:val="hybridMultilevel"/>
    <w:tmpl w:val="B93E071C"/>
    <w:lvl w:ilvl="0" w:tplc="7E261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98573">
    <w:abstractNumId w:val="1"/>
  </w:num>
  <w:num w:numId="2" w16cid:durableId="44658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82"/>
    <w:rsid w:val="00110883"/>
    <w:rsid w:val="00467E4A"/>
    <w:rsid w:val="00854C3C"/>
    <w:rsid w:val="00AD0D6E"/>
    <w:rsid w:val="00BA7AA0"/>
    <w:rsid w:val="00C90669"/>
    <w:rsid w:val="00D646FF"/>
    <w:rsid w:val="00FA405E"/>
    <w:rsid w:val="00F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B1EA0"/>
  <w15:chartTrackingRefBased/>
  <w15:docId w15:val="{F979FC60-4AAA-8041-93B3-17B7BB5F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5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5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5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5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5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51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51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51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51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5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5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5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51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51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51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51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51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51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5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5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51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5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51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51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51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51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5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51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518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B51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aragraph">
    <w:name w:val="paragraph"/>
    <w:basedOn w:val="Normalny"/>
    <w:rsid w:val="00FB5182"/>
    <w:pPr>
      <w:suppressAutoHyphens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customStyle="1" w:styleId="Footnote">
    <w:name w:val="Footnote"/>
    <w:basedOn w:val="Normalny"/>
    <w:rsid w:val="00FB5182"/>
    <w:pPr>
      <w:suppressLineNumbers/>
      <w:suppressAutoHyphens/>
      <w:autoSpaceDN w:val="0"/>
      <w:ind w:left="284" w:hanging="284"/>
      <w:jc w:val="both"/>
      <w:textAlignment w:val="baseline"/>
    </w:pPr>
    <w:rPr>
      <w:rFonts w:ascii="Calibri" w:eastAsia="SimSun" w:hAnsi="Calibri" w:cs="Tahoma"/>
      <w:kern w:val="3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rsid w:val="00FB518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813</Characters>
  <Application>Microsoft Office Word</Application>
  <DocSecurity>0</DocSecurity>
  <Lines>11</Lines>
  <Paragraphs>3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Wyszyńska-Ślufińska</dc:creator>
  <cp:keywords/>
  <dc:description/>
  <cp:lastModifiedBy>Paulina Wyszyńska-Ślufińska</cp:lastModifiedBy>
  <cp:revision>2</cp:revision>
  <dcterms:created xsi:type="dcterms:W3CDTF">2024-09-09T09:20:00Z</dcterms:created>
  <dcterms:modified xsi:type="dcterms:W3CDTF">2024-09-09T09:42:00Z</dcterms:modified>
</cp:coreProperties>
</file>