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B045" w14:textId="77777777" w:rsidR="008726A2" w:rsidRPr="007C3E3A" w:rsidRDefault="00C01746" w:rsidP="008726A2">
      <w:pPr>
        <w:pStyle w:val="Heading1"/>
        <w:numPr>
          <w:ilvl w:val="0"/>
          <w:numId w:val="0"/>
        </w:numPr>
        <w:ind w:left="432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PRZYKŁAD </w:t>
      </w:r>
      <w:r w:rsidR="008726A2" w:rsidRPr="007C3E3A">
        <w:rPr>
          <w:rFonts w:cstheme="minorHAnsi"/>
          <w:b/>
          <w:szCs w:val="20"/>
        </w:rPr>
        <w:t>Szablon</w:t>
      </w:r>
      <w:r>
        <w:rPr>
          <w:rFonts w:cstheme="minorHAnsi"/>
          <w:b/>
          <w:szCs w:val="20"/>
        </w:rPr>
        <w:t>U</w:t>
      </w:r>
      <w:r w:rsidR="008726A2" w:rsidRPr="007C3E3A">
        <w:rPr>
          <w:rFonts w:cstheme="minorHAnsi"/>
          <w:b/>
          <w:szCs w:val="20"/>
        </w:rPr>
        <w:t xml:space="preserve"> szacowania ryzyka</w:t>
      </w:r>
    </w:p>
    <w:p w14:paraId="43702C4B" w14:textId="77777777" w:rsidR="008726A2" w:rsidRPr="007C3E3A" w:rsidRDefault="008726A2" w:rsidP="008726A2">
      <w:pPr>
        <w:rPr>
          <w:rFonts w:cstheme="minorHAnsi"/>
          <w:b/>
          <w:sz w:val="20"/>
          <w:szCs w:val="20"/>
          <w:lang w:eastAsia="el-GR"/>
        </w:rPr>
      </w:pPr>
    </w:p>
    <w:p w14:paraId="4160224C" w14:textId="77777777" w:rsidR="00C848D3" w:rsidRPr="007C3E3A" w:rsidRDefault="00322054">
      <w:pPr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2212"/>
        <w:gridCol w:w="1264"/>
        <w:gridCol w:w="944"/>
        <w:gridCol w:w="772"/>
        <w:gridCol w:w="1247"/>
        <w:gridCol w:w="942"/>
        <w:gridCol w:w="2188"/>
        <w:gridCol w:w="1348"/>
        <w:gridCol w:w="1420"/>
        <w:gridCol w:w="1274"/>
      </w:tblGrid>
      <w:tr w:rsidR="00D1648B" w:rsidRPr="00662E0F" w14:paraId="39E18E38" w14:textId="77777777" w:rsidTr="00EC2133">
        <w:trPr>
          <w:trHeight w:val="690"/>
          <w:tblHeader/>
        </w:trPr>
        <w:tc>
          <w:tcPr>
            <w:tcW w:w="138" w:type="pct"/>
            <w:vMerge w:val="restart"/>
            <w:shd w:val="clear" w:color="auto" w:fill="F2F2F2" w:themeFill="background1" w:themeFillShade="F2"/>
            <w:vAlign w:val="center"/>
          </w:tcPr>
          <w:p w14:paraId="20108A6A" w14:textId="77777777" w:rsidR="00D1648B" w:rsidRPr="00662E0F" w:rsidRDefault="00D1648B" w:rsidP="007526D0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92" w:type="pct"/>
            <w:vMerge w:val="restart"/>
            <w:shd w:val="clear" w:color="auto" w:fill="F2F2F2" w:themeFill="background1" w:themeFillShade="F2"/>
            <w:vAlign w:val="center"/>
          </w:tcPr>
          <w:p w14:paraId="359ABEF4" w14:textId="77777777" w:rsidR="00D1648B" w:rsidRPr="00662E0F" w:rsidRDefault="00D1648B" w:rsidP="007526D0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Zagrożenie</w:t>
            </w:r>
          </w:p>
        </w:tc>
        <w:tc>
          <w:tcPr>
            <w:tcW w:w="452" w:type="pct"/>
            <w:vMerge w:val="restart"/>
            <w:shd w:val="clear" w:color="auto" w:fill="F2F2F2" w:themeFill="background1" w:themeFillShade="F2"/>
            <w:vAlign w:val="center"/>
          </w:tcPr>
          <w:p w14:paraId="0C9C6432" w14:textId="77777777" w:rsidR="00D1648B" w:rsidRPr="00662E0F" w:rsidRDefault="00D1648B" w:rsidP="00662E0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Czynniki ograniczające ryzyko</w:t>
            </w:r>
          </w:p>
        </w:tc>
        <w:tc>
          <w:tcPr>
            <w:tcW w:w="616" w:type="pct"/>
            <w:gridSpan w:val="2"/>
            <w:shd w:val="clear" w:color="auto" w:fill="F2F2F2" w:themeFill="background1" w:themeFillShade="F2"/>
            <w:vAlign w:val="center"/>
          </w:tcPr>
          <w:p w14:paraId="66BC8590" w14:textId="77777777" w:rsidR="00D1648B" w:rsidRPr="00662E0F" w:rsidRDefault="00D1648B" w:rsidP="00662E0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Ocena ryzyka inherentnego</w:t>
            </w:r>
          </w:p>
        </w:tc>
        <w:tc>
          <w:tcPr>
            <w:tcW w:w="445" w:type="pct"/>
            <w:vMerge w:val="restart"/>
            <w:shd w:val="clear" w:color="auto" w:fill="F2F2F2" w:themeFill="background1" w:themeFillShade="F2"/>
            <w:vAlign w:val="center"/>
          </w:tcPr>
          <w:p w14:paraId="695CD661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Poziom ryzyka inherentnego</w:t>
            </w: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 xml:space="preserve"> (N/Ś/K)*</w:t>
            </w:r>
          </w:p>
        </w:tc>
        <w:tc>
          <w:tcPr>
            <w:tcW w:w="337" w:type="pct"/>
            <w:vMerge w:val="restart"/>
            <w:shd w:val="clear" w:color="auto" w:fill="F2F2F2" w:themeFill="background1" w:themeFillShade="F2"/>
            <w:vAlign w:val="center"/>
          </w:tcPr>
          <w:p w14:paraId="299924C0" w14:textId="77777777" w:rsidR="00D1648B" w:rsidRPr="00662E0F" w:rsidRDefault="00D1648B" w:rsidP="004767A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Decyzja*</w:t>
            </w: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221" w:type="pct"/>
            <w:gridSpan w:val="4"/>
            <w:shd w:val="clear" w:color="auto" w:fill="F2F2F2" w:themeFill="background1" w:themeFillShade="F2"/>
            <w:vAlign w:val="center"/>
          </w:tcPr>
          <w:p w14:paraId="7323A799" w14:textId="77777777" w:rsidR="00D1648B" w:rsidRPr="00662E0F" w:rsidRDefault="00D1648B" w:rsidP="007526D0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Plan postępowania z ryzykiem</w:t>
            </w:r>
          </w:p>
        </w:tc>
      </w:tr>
      <w:tr w:rsidR="007E21E1" w:rsidRPr="00662E0F" w14:paraId="73DE0424" w14:textId="77777777" w:rsidTr="00EC2133">
        <w:trPr>
          <w:trHeight w:val="645"/>
        </w:trPr>
        <w:tc>
          <w:tcPr>
            <w:tcW w:w="138" w:type="pct"/>
            <w:vMerge/>
            <w:vAlign w:val="center"/>
          </w:tcPr>
          <w:p w14:paraId="1D19DB14" w14:textId="77777777" w:rsidR="00D1648B" w:rsidRPr="00662E0F" w:rsidRDefault="00D1648B" w:rsidP="007526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14:paraId="03F654DA" w14:textId="77777777" w:rsidR="00D1648B" w:rsidRPr="00662E0F" w:rsidRDefault="00D1648B" w:rsidP="007526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Merge/>
            <w:shd w:val="clear" w:color="auto" w:fill="F2F2F2" w:themeFill="background1" w:themeFillShade="F2"/>
          </w:tcPr>
          <w:p w14:paraId="1C21E6B8" w14:textId="77777777" w:rsidR="00D1648B" w:rsidRPr="00662E0F" w:rsidRDefault="00D1648B" w:rsidP="007526D0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5B9CEB2C" w14:textId="77777777" w:rsidR="00EC2133" w:rsidRDefault="00D1648B" w:rsidP="007526D0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Prawdo</w:t>
            </w:r>
          </w:p>
          <w:p w14:paraId="2DF6D805" w14:textId="77777777" w:rsidR="00D1648B" w:rsidRDefault="00D1648B" w:rsidP="007526D0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pod</w:t>
            </w:r>
            <w:r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o</w:t>
            </w:r>
          </w:p>
          <w:p w14:paraId="71C9F3E8" w14:textId="77777777" w:rsidR="00D1648B" w:rsidRPr="00662E0F" w:rsidRDefault="00D1648B" w:rsidP="007526D0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bieństwo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6B9EFF0B" w14:textId="77777777" w:rsidR="00D1648B" w:rsidRPr="00662E0F" w:rsidRDefault="00D1648B" w:rsidP="007526D0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Wpływ</w:t>
            </w:r>
          </w:p>
        </w:tc>
        <w:tc>
          <w:tcPr>
            <w:tcW w:w="445" w:type="pct"/>
            <w:vMerge/>
            <w:vAlign w:val="center"/>
          </w:tcPr>
          <w:p w14:paraId="4DAB3B43" w14:textId="77777777" w:rsidR="00D1648B" w:rsidRPr="00662E0F" w:rsidDel="00D63BC7" w:rsidRDefault="00D1648B" w:rsidP="007526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14:paraId="3D0D5354" w14:textId="77777777" w:rsidR="00D1648B" w:rsidRPr="00662E0F" w:rsidRDefault="00D1648B" w:rsidP="007526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14:paraId="43429D20" w14:textId="77777777" w:rsidR="00D1648B" w:rsidRPr="00662E0F" w:rsidRDefault="00D1648B" w:rsidP="00D1648B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Proponowane zabezpieczenia</w:t>
            </w:r>
            <w:r w:rsidRPr="00662E0F"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 xml:space="preserve"> obniżające ryzyko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14:paraId="6D92A5C5" w14:textId="77777777" w:rsidR="00D1648B" w:rsidRPr="007E21E1" w:rsidRDefault="00D1648B" w:rsidP="00662E0F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7E21E1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 xml:space="preserve">Poziom ryzyka rezydualnego* 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2DEE6BE8" w14:textId="77777777" w:rsidR="00D1648B" w:rsidRPr="00662E0F" w:rsidRDefault="00D1648B" w:rsidP="00D1648B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 xml:space="preserve">Osoba odpowiedzialna 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14:paraId="2EAE6824" w14:textId="77777777" w:rsidR="00D1648B" w:rsidRPr="00662E0F" w:rsidRDefault="00D1648B" w:rsidP="00D1648B">
            <w:pPr>
              <w:jc w:val="center"/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Termin wdrożenia</w:t>
            </w:r>
          </w:p>
        </w:tc>
      </w:tr>
      <w:tr w:rsidR="007E21E1" w:rsidRPr="00662E0F" w14:paraId="5E39263C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2751DBD4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92" w:type="pct"/>
            <w:vAlign w:val="center"/>
          </w:tcPr>
          <w:p w14:paraId="0A6B2C82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Rozproszenie geograficzne przetwarzanych informacji (VI.2.1.a)</w:t>
            </w:r>
          </w:p>
        </w:tc>
        <w:tc>
          <w:tcPr>
            <w:tcW w:w="452" w:type="pct"/>
          </w:tcPr>
          <w:p w14:paraId="4C973E8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  <w:r w:rsidRPr="00662E0F">
              <w:rPr>
                <w:rFonts w:cstheme="minorHAnsi"/>
                <w:sz w:val="18"/>
                <w:szCs w:val="18"/>
              </w:rPr>
              <w:t>Usługa chmury obliczeniowej świadczona jest w lokalizacjach:</w:t>
            </w:r>
          </w:p>
          <w:p w14:paraId="6147CAC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  <w:r w:rsidRPr="00662E0F">
              <w:rPr>
                <w:rFonts w:cstheme="minorHAnsi"/>
                <w:sz w:val="18"/>
                <w:szCs w:val="18"/>
              </w:rPr>
              <w:t>1) ……..</w:t>
            </w:r>
          </w:p>
          <w:p w14:paraId="1A3B953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  <w:r w:rsidRPr="00662E0F">
              <w:rPr>
                <w:rFonts w:cstheme="minorHAnsi"/>
                <w:sz w:val="18"/>
                <w:szCs w:val="18"/>
              </w:rPr>
              <w:t>2) …….</w:t>
            </w:r>
          </w:p>
        </w:tc>
        <w:tc>
          <w:tcPr>
            <w:tcW w:w="339" w:type="pct"/>
            <w:vAlign w:val="center"/>
          </w:tcPr>
          <w:p w14:paraId="7AD8B6D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66EB886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4DDEFD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  <w:p w14:paraId="01475CC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29BE3AF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  <w:p w14:paraId="01E81FC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11897D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6785A9D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0DD1CC5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4499E02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3FDE03E0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517CC57B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92" w:type="pct"/>
            <w:vAlign w:val="center"/>
          </w:tcPr>
          <w:p w14:paraId="3AB0D8ED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Możliwość utraty zgodności postępowania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podmiotu nadzorowanego z przepisami prawa (w tym wydanych licencji i/lub zezwoleń) (VI.2.1.b)</w:t>
            </w:r>
          </w:p>
        </w:tc>
        <w:tc>
          <w:tcPr>
            <w:tcW w:w="452" w:type="pct"/>
          </w:tcPr>
          <w:p w14:paraId="2D7EBC6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720DF5F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CA1A99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0F4142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2EB5A6C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09CD251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1E15038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2734AF7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2B3C358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60316810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43476E52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92" w:type="pct"/>
            <w:vAlign w:val="center"/>
          </w:tcPr>
          <w:p w14:paraId="26601BF4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Dostęp do przetwarzanych informacji przez osoby nieuprawnione (VI.2.1.c)</w:t>
            </w:r>
          </w:p>
        </w:tc>
        <w:tc>
          <w:tcPr>
            <w:tcW w:w="452" w:type="pct"/>
          </w:tcPr>
          <w:p w14:paraId="501D232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08DA5BE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3C043A0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933169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07F6052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04309DC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820E73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01538E6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7D8B330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08635C37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62720EFE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92" w:type="pct"/>
            <w:vAlign w:val="center"/>
          </w:tcPr>
          <w:p w14:paraId="4CB616AA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Jurysdykcja kraju, w którym odbywa się  fizyczne przetwarzanie (lokalizacja CDP) w zakresie dostępu do informacji przez organy administracji krajowej lub międzynarodowej (VI.2.1.d)</w:t>
            </w:r>
          </w:p>
        </w:tc>
        <w:tc>
          <w:tcPr>
            <w:tcW w:w="452" w:type="pct"/>
          </w:tcPr>
          <w:p w14:paraId="0090634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E3D8DB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5A73313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03356E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1C99D2E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43CD2D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3C7163A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6509374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2D9A029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78893C13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66D56446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92" w:type="pct"/>
            <w:vAlign w:val="center"/>
          </w:tcPr>
          <w:p w14:paraId="2374B769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Przywiązanie do jednego </w:t>
            </w:r>
            <w:r w:rsidR="009D29D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ostawcy usług chmury obliczeniowej (VI.2.1.e)</w:t>
            </w:r>
          </w:p>
        </w:tc>
        <w:tc>
          <w:tcPr>
            <w:tcW w:w="452" w:type="pct"/>
          </w:tcPr>
          <w:p w14:paraId="4FACF2C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8EAF95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296C3CC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8652EC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1CC186B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75A6B0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72C7F29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7BB31E1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2195527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1369EC6F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43D2A27B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92" w:type="pct"/>
            <w:vAlign w:val="center"/>
          </w:tcPr>
          <w:p w14:paraId="02B03303" w14:textId="648B0040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Awarie i podatności elementów technologicznych </w:t>
            </w:r>
            <w:r w:rsidR="00C07845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hmury obliczeniowej (VI.2.1.f)</w:t>
            </w:r>
          </w:p>
        </w:tc>
        <w:tc>
          <w:tcPr>
            <w:tcW w:w="452" w:type="pct"/>
          </w:tcPr>
          <w:p w14:paraId="3CA1A3E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2019960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09D9BD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96FF59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272CCEE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D0A978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1A653DC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38FF429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33A9C7F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3F6A2775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61A028A7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792" w:type="pct"/>
            <w:vAlign w:val="center"/>
          </w:tcPr>
          <w:p w14:paraId="58446FB3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Podatność interfejsów zarządzających usługami (VI.2.1.g)</w:t>
            </w:r>
          </w:p>
        </w:tc>
        <w:tc>
          <w:tcPr>
            <w:tcW w:w="452" w:type="pct"/>
          </w:tcPr>
          <w:p w14:paraId="547E087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02184A7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8ECE99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3CAB24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02255B6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E2F641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2B1EB32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53CAA00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1F69F85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38CCBCB9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66789043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92" w:type="pct"/>
            <w:vAlign w:val="center"/>
          </w:tcPr>
          <w:p w14:paraId="3A435599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Ograniczona możliwość wpływania na zakres, kształt i zmiany usług (VI.2.1.h)</w:t>
            </w:r>
          </w:p>
        </w:tc>
        <w:tc>
          <w:tcPr>
            <w:tcW w:w="452" w:type="pct"/>
          </w:tcPr>
          <w:p w14:paraId="4437A0B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251CF63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631EEAE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427A0D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6F519BD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8D545A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18DCEAF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6E2E9F0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0D98C51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447CDE5A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2170CABE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92" w:type="pct"/>
            <w:vAlign w:val="center"/>
          </w:tcPr>
          <w:p w14:paraId="7F1EA413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Ograniczona możliwość kontrolowania </w:t>
            </w:r>
            <w:r w:rsidR="009D29D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ostawcy usług </w:t>
            </w:r>
            <w:bookmarkStart w:id="0" w:name="_GoBack"/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chmur</w:t>
            </w:r>
            <w:bookmarkEnd w:id="0"/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y obliczeniowej (VI.2.1.i)</w:t>
            </w:r>
          </w:p>
        </w:tc>
        <w:tc>
          <w:tcPr>
            <w:tcW w:w="452" w:type="pct"/>
          </w:tcPr>
          <w:p w14:paraId="558970E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14BE100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5A79FE3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51B434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51EFC6F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6B0CDF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77DA6D9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11AA692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51910BC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2F3DAEDE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056B0A7A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92" w:type="pct"/>
            <w:vAlign w:val="center"/>
          </w:tcPr>
          <w:p w14:paraId="767D8D62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Podział odpowiedzialności (VI.2.1.j)</w:t>
            </w:r>
          </w:p>
        </w:tc>
        <w:tc>
          <w:tcPr>
            <w:tcW w:w="452" w:type="pct"/>
          </w:tcPr>
          <w:p w14:paraId="49A5E91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7CEC781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6C6F40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698D627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7007AE4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1B67A7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086085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30FBDAD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490711A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2B67CABE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6C6A3F6E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92" w:type="pct"/>
            <w:vAlign w:val="center"/>
          </w:tcPr>
          <w:p w14:paraId="4310556C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Możliwość korzystania z usług w sposób niezgodny z intencjami podmiotu nadzorowanego (VI.2.2.a)</w:t>
            </w:r>
          </w:p>
        </w:tc>
        <w:tc>
          <w:tcPr>
            <w:tcW w:w="452" w:type="pct"/>
          </w:tcPr>
          <w:p w14:paraId="64A9F0D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668860E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8FB96F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6DAD83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14A5C46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66D222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13C4E20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031F090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58AACC2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45F56A09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47D9B72F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92" w:type="pct"/>
            <w:vAlign w:val="center"/>
          </w:tcPr>
          <w:p w14:paraId="06556FF4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Możliwość jednostronnej zmiany warunków technicznych korzystania z usługi (VI.2.2.b)</w:t>
            </w:r>
          </w:p>
        </w:tc>
        <w:tc>
          <w:tcPr>
            <w:tcW w:w="452" w:type="pct"/>
          </w:tcPr>
          <w:p w14:paraId="16B48A0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271F223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06FF68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252CBB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0D5D86B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805070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3EB390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01F7EF8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1FACDF0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34814885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72F1BF39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92" w:type="pct"/>
            <w:vAlign w:val="center"/>
          </w:tcPr>
          <w:p w14:paraId="3F41D363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Stosowanie domyślnych lub publicznie dostępnych parametrów konfiguracyjnych usług (VI.2.2.c)</w:t>
            </w:r>
          </w:p>
        </w:tc>
        <w:tc>
          <w:tcPr>
            <w:tcW w:w="452" w:type="pct"/>
          </w:tcPr>
          <w:p w14:paraId="5B57432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DB8D06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61F6B4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2E62C88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1EB2A45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657DFF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34380DA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657184D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4F02ABA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275038F9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5EC7D807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792" w:type="pct"/>
            <w:vAlign w:val="center"/>
          </w:tcPr>
          <w:p w14:paraId="33B769D9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Stosowane mechanizmy uwierzytelniania (VI.2.2.d)</w:t>
            </w:r>
          </w:p>
        </w:tc>
        <w:tc>
          <w:tcPr>
            <w:tcW w:w="452" w:type="pct"/>
          </w:tcPr>
          <w:p w14:paraId="1E64737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0EAF4B1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5E0928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362822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35284A6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5BBB77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6D7982A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6997271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66C4CF4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5778771A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4BA6770E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92" w:type="pct"/>
            <w:vAlign w:val="center"/>
          </w:tcPr>
          <w:p w14:paraId="4C3242AE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Zasoby ludzkie (VI.2.3.a)</w:t>
            </w:r>
          </w:p>
        </w:tc>
        <w:tc>
          <w:tcPr>
            <w:tcW w:w="452" w:type="pct"/>
          </w:tcPr>
          <w:p w14:paraId="3F34EAF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6C2628A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0EF3116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DEF317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7C49CA5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5E5691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3CFC80D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3DE6FBB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615365E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E21E1" w:rsidRPr="00662E0F" w14:paraId="21EFC175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437DFEC8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 w:rsidRPr="00662E0F"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792" w:type="pct"/>
            <w:vAlign w:val="center"/>
          </w:tcPr>
          <w:p w14:paraId="53A40C6E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Zgodność środowiska technologicznego (VI.2.3.b)</w:t>
            </w:r>
          </w:p>
        </w:tc>
        <w:tc>
          <w:tcPr>
            <w:tcW w:w="452" w:type="pct"/>
          </w:tcPr>
          <w:p w14:paraId="577DC6A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0F39F33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3D337D7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B5FF4F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2B45D2A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0AEC3D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3B9C801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7DEA38B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1D8F6A5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2A11485F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05DD7947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792" w:type="pct"/>
            <w:vAlign w:val="center"/>
          </w:tcPr>
          <w:p w14:paraId="1C824F1E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Szyfrowanie informacji - zarządzanie kluczami (VI.2.5.b)</w:t>
            </w:r>
          </w:p>
        </w:tc>
        <w:tc>
          <w:tcPr>
            <w:tcW w:w="452" w:type="pct"/>
          </w:tcPr>
          <w:p w14:paraId="4E21FFD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096017E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468188A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2644E0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0D132B5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37210D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39FD652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491E102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215DE46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3912D105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74123A60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792" w:type="pct"/>
            <w:vAlign w:val="center"/>
          </w:tcPr>
          <w:p w14:paraId="7A567B38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Szyfrowanie informacji - wykorzystywane algorytmy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(VI.2.5.c)</w:t>
            </w:r>
          </w:p>
        </w:tc>
        <w:tc>
          <w:tcPr>
            <w:tcW w:w="452" w:type="pct"/>
          </w:tcPr>
          <w:p w14:paraId="62C2076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48A3088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318C1F6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679CA66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7FA79E6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C755E2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1DA95AE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05102E6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58CFDB0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6297B894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21E9841C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792" w:type="pct"/>
            <w:vAlign w:val="center"/>
          </w:tcPr>
          <w:p w14:paraId="167DF11A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Szyfrowanie informacji - "at rest" (VI.2.5.e)</w:t>
            </w:r>
          </w:p>
        </w:tc>
        <w:tc>
          <w:tcPr>
            <w:tcW w:w="452" w:type="pct"/>
          </w:tcPr>
          <w:p w14:paraId="78973E7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5D4575F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4CCC3B7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211DB7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121CFD2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D29BA3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4D95DB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61EC326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3D578BB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2A20B6C3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71910272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792" w:type="pct"/>
            <w:vAlign w:val="center"/>
          </w:tcPr>
          <w:p w14:paraId="6317B2D8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Szyfrowanie infromacji - "in transit" (VI.2.5.e)</w:t>
            </w:r>
          </w:p>
        </w:tc>
        <w:tc>
          <w:tcPr>
            <w:tcW w:w="452" w:type="pct"/>
          </w:tcPr>
          <w:p w14:paraId="1F34E3C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4B143FC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62DFD5B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016A33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3F7FAD9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032B64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487550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66D6A15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52F8B41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0795DA38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44100E5D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792" w:type="pct"/>
            <w:vAlign w:val="center"/>
          </w:tcPr>
          <w:p w14:paraId="3703D01D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Szyfrowanie infromacji - kopie kluczy (utrata, poza kontrolą podmiotu nadzorowanego) (VI.2.5.f)</w:t>
            </w:r>
          </w:p>
        </w:tc>
        <w:tc>
          <w:tcPr>
            <w:tcW w:w="452" w:type="pct"/>
          </w:tcPr>
          <w:p w14:paraId="2853C99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168A22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620BFC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1691AF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383B627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93E7EE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D971DE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3963641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350478A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243C226E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1AE13C43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792" w:type="pct"/>
            <w:vAlign w:val="center"/>
          </w:tcPr>
          <w:p w14:paraId="4DD1865E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Kontrola „łańcucha outsourcingowego” - prawne wymogi (VI.2.6.a)</w:t>
            </w:r>
          </w:p>
        </w:tc>
        <w:tc>
          <w:tcPr>
            <w:tcW w:w="452" w:type="pct"/>
          </w:tcPr>
          <w:p w14:paraId="7A1CAE8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961080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5A7CCB6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095163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72826BA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106A16C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0F7CAF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4D336D2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48EF6D2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0515D2EC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32018996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792" w:type="pct"/>
            <w:vAlign w:val="center"/>
          </w:tcPr>
          <w:p w14:paraId="00081F1B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Kontrola „łańcucha outsourcingowego” - wykluczenia (VI.2.6.b)</w:t>
            </w:r>
          </w:p>
        </w:tc>
        <w:tc>
          <w:tcPr>
            <w:tcW w:w="452" w:type="pct"/>
          </w:tcPr>
          <w:p w14:paraId="529DF99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117D0B3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05234F8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6AE1FF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510D3C9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03DA625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6BFB9C9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2EB41A4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4E61480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3C3605F0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3149640E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792" w:type="pct"/>
            <w:vAlign w:val="center"/>
          </w:tcPr>
          <w:p w14:paraId="67902907" w14:textId="57CFA923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Umowa pomiędzy </w:t>
            </w:r>
            <w:r w:rsidR="009D29D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ostawcą a </w:t>
            </w:r>
            <w:r w:rsidR="00C07845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sługą chmury - prawo właściwe (VI.2.8.a)</w:t>
            </w:r>
          </w:p>
        </w:tc>
        <w:tc>
          <w:tcPr>
            <w:tcW w:w="452" w:type="pct"/>
          </w:tcPr>
          <w:p w14:paraId="2082D75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568D2B9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00CDC55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117E4F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3CB762B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254136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E78297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72DC4B3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083D8C2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04231B89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7F8E9F40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792" w:type="pct"/>
            <w:vAlign w:val="center"/>
          </w:tcPr>
          <w:p w14:paraId="1D805D01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Opinia prawna dotycząca prawa państwa trzeciego</w:t>
            </w: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(VI.2.8.b)</w:t>
            </w:r>
          </w:p>
        </w:tc>
        <w:tc>
          <w:tcPr>
            <w:tcW w:w="452" w:type="pct"/>
          </w:tcPr>
          <w:p w14:paraId="607CA17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284C261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0C5EB0A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27ABBE2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02AA9C9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645E5B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228B1C7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4DCFD06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387BE59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6C469D2D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51E41628" w14:textId="77777777" w:rsidR="00D1648B" w:rsidRPr="00662E0F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 xml:space="preserve">26. </w:t>
            </w:r>
          </w:p>
        </w:tc>
        <w:tc>
          <w:tcPr>
            <w:tcW w:w="792" w:type="pct"/>
            <w:vAlign w:val="center"/>
          </w:tcPr>
          <w:p w14:paraId="3632EFFF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Inne istotne zagrożenia (VI.9) - Spełnienie wymogów w zakresie RODO</w:t>
            </w:r>
          </w:p>
        </w:tc>
        <w:tc>
          <w:tcPr>
            <w:tcW w:w="452" w:type="pct"/>
          </w:tcPr>
          <w:p w14:paraId="5B2DDFF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09F5771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28E5C8C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255437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6C0990F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60ADC5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29B417F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7D089CE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4E77FD8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71140FE8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6C08C5D3" w14:textId="77777777" w:rsidR="00D1648B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792" w:type="pct"/>
            <w:vAlign w:val="center"/>
          </w:tcPr>
          <w:p w14:paraId="279A20DF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Inne istotne zagrożenia - monitoring bezpieczeństwa (VI.9)</w:t>
            </w:r>
          </w:p>
        </w:tc>
        <w:tc>
          <w:tcPr>
            <w:tcW w:w="452" w:type="pct"/>
          </w:tcPr>
          <w:p w14:paraId="5EEBD02B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179DF49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21BC043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4FA8BE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5AD5A8D5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1BAC8A6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5B056E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5902CA8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5B1FE15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1F28C5FA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29B3208F" w14:textId="77777777" w:rsidR="00D1648B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792" w:type="pct"/>
            <w:vAlign w:val="center"/>
          </w:tcPr>
          <w:p w14:paraId="57F4C95E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Inne istotne zagrożenia - anonimizacja danych (VI.9)</w:t>
            </w:r>
          </w:p>
        </w:tc>
        <w:tc>
          <w:tcPr>
            <w:tcW w:w="452" w:type="pct"/>
          </w:tcPr>
          <w:p w14:paraId="64DDF68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248BCDE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2B82603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3B240C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286CC70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01B0C4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58B2483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4A8888B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72F0E90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03F5009A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7A3FDB36" w14:textId="77777777" w:rsidR="00D1648B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792" w:type="pct"/>
            <w:vAlign w:val="center"/>
          </w:tcPr>
          <w:p w14:paraId="7EC9AD2F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Inne istotne zagrożenia - badanie podatności technicznych (VI.9)</w:t>
            </w:r>
          </w:p>
        </w:tc>
        <w:tc>
          <w:tcPr>
            <w:tcW w:w="452" w:type="pct"/>
          </w:tcPr>
          <w:p w14:paraId="1A05ECF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7060BA8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49E10ECF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A01EA8C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168FE46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93A6B0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128F86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5BCE9A33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1FFE905D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648B" w:rsidRPr="00662E0F" w14:paraId="7F47390C" w14:textId="77777777" w:rsidTr="00EC2133"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6924CBFD" w14:textId="77777777" w:rsidR="00D1648B" w:rsidRDefault="00D1648B" w:rsidP="00D1648B">
            <w:pPr>
              <w:jc w:val="center"/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bCs/>
                <w:color w:val="1A495C" w:themeColor="accent1" w:themeShade="7F"/>
                <w:spacing w:val="15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792" w:type="pct"/>
            <w:vAlign w:val="center"/>
          </w:tcPr>
          <w:p w14:paraId="43B2A404" w14:textId="77777777" w:rsidR="00D1648B" w:rsidRPr="00D1648B" w:rsidRDefault="00D1648B" w:rsidP="00D164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648B">
              <w:rPr>
                <w:rFonts w:ascii="Calibri" w:hAnsi="Calibri" w:cs="Calibri"/>
                <w:color w:val="000000"/>
                <w:sz w:val="18"/>
                <w:szCs w:val="18"/>
              </w:rPr>
              <w:t>Inne istotne zagrożenia - bezpieczeństwo fizyczne CPD (VI.9)</w:t>
            </w:r>
          </w:p>
        </w:tc>
        <w:tc>
          <w:tcPr>
            <w:tcW w:w="452" w:type="pct"/>
          </w:tcPr>
          <w:p w14:paraId="374B180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56E49D14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1B6AE362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6EA1D548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51800B37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83B11BA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D23D0C1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720C6130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" w:type="pct"/>
          </w:tcPr>
          <w:p w14:paraId="5FF96FE9" w14:textId="77777777" w:rsidR="00D1648B" w:rsidRPr="00662E0F" w:rsidRDefault="00D1648B" w:rsidP="00D1648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A6487C7" w14:textId="77777777" w:rsidR="002A0CE9" w:rsidRDefault="002A0CE9">
      <w:pPr>
        <w:rPr>
          <w:rFonts w:cstheme="minorHAnsi"/>
          <w:sz w:val="20"/>
          <w:szCs w:val="20"/>
        </w:rPr>
      </w:pPr>
    </w:p>
    <w:p w14:paraId="2DB9D867" w14:textId="77777777" w:rsidR="00D1648B" w:rsidRDefault="00D1648B">
      <w:pPr>
        <w:rPr>
          <w:rFonts w:cstheme="minorHAnsi"/>
          <w:i/>
          <w:sz w:val="20"/>
          <w:szCs w:val="20"/>
        </w:rPr>
      </w:pPr>
      <w:r w:rsidRPr="00D1648B">
        <w:rPr>
          <w:rFonts w:cstheme="minorHAnsi"/>
          <w:b/>
          <w:i/>
          <w:sz w:val="20"/>
          <w:szCs w:val="20"/>
        </w:rPr>
        <w:t>*Poziom ryzyka</w:t>
      </w:r>
      <w:r>
        <w:rPr>
          <w:rFonts w:cstheme="minorHAnsi"/>
          <w:i/>
          <w:sz w:val="20"/>
          <w:szCs w:val="20"/>
        </w:rPr>
        <w:t xml:space="preserve"> – N – Niski, Ś – Średni, K – Krytyczny</w:t>
      </w:r>
    </w:p>
    <w:p w14:paraId="4DAFAB9A" w14:textId="77777777" w:rsidR="004767AB" w:rsidRPr="004767AB" w:rsidRDefault="004767AB">
      <w:pPr>
        <w:rPr>
          <w:rFonts w:cstheme="minorHAnsi"/>
          <w:i/>
          <w:sz w:val="20"/>
          <w:szCs w:val="20"/>
        </w:rPr>
      </w:pPr>
      <w:r w:rsidRPr="004767AB">
        <w:rPr>
          <w:rFonts w:cstheme="minorHAnsi"/>
          <w:i/>
          <w:sz w:val="20"/>
          <w:szCs w:val="20"/>
        </w:rPr>
        <w:t>*</w:t>
      </w:r>
      <w:r w:rsidR="00D1648B">
        <w:rPr>
          <w:rFonts w:cstheme="minorHAnsi"/>
          <w:i/>
          <w:sz w:val="20"/>
          <w:szCs w:val="20"/>
        </w:rPr>
        <w:t>*</w:t>
      </w:r>
      <w:r w:rsidRPr="004767AB">
        <w:rPr>
          <w:rFonts w:cstheme="minorHAnsi"/>
          <w:b/>
          <w:i/>
          <w:sz w:val="20"/>
          <w:szCs w:val="20"/>
        </w:rPr>
        <w:t>Decyzja</w:t>
      </w:r>
      <w:r w:rsidRPr="004767AB">
        <w:rPr>
          <w:rFonts w:cstheme="minorHAnsi"/>
          <w:i/>
          <w:sz w:val="20"/>
          <w:szCs w:val="20"/>
        </w:rPr>
        <w:t xml:space="preserve"> – oznacza strategi</w:t>
      </w:r>
      <w:r>
        <w:rPr>
          <w:rFonts w:cstheme="minorHAnsi"/>
          <w:i/>
          <w:sz w:val="20"/>
          <w:szCs w:val="20"/>
        </w:rPr>
        <w:t>ę postępowania z ryzykiem, która</w:t>
      </w:r>
      <w:r w:rsidRPr="004767AB">
        <w:rPr>
          <w:rFonts w:cstheme="minorHAnsi"/>
          <w:i/>
          <w:sz w:val="20"/>
          <w:szCs w:val="20"/>
        </w:rPr>
        <w:t xml:space="preserve"> może obejmować: akceptację (zachowanie), redukcję (modyfikowanie), przeniesienie (dzielenie) lub unikanie ryzyka.</w:t>
      </w:r>
    </w:p>
    <w:sectPr w:rsidR="004767AB" w:rsidRPr="004767AB" w:rsidSect="002A0CE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8656" w14:textId="77777777" w:rsidR="00322054" w:rsidRDefault="00322054" w:rsidP="006E724E">
      <w:r>
        <w:separator/>
      </w:r>
    </w:p>
  </w:endnote>
  <w:endnote w:type="continuationSeparator" w:id="0">
    <w:p w14:paraId="581BE2E7" w14:textId="77777777" w:rsidR="00322054" w:rsidRDefault="00322054" w:rsidP="006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0D8E" w14:textId="77777777" w:rsidR="00322054" w:rsidRDefault="00322054" w:rsidP="006E724E">
      <w:r>
        <w:separator/>
      </w:r>
    </w:p>
  </w:footnote>
  <w:footnote w:type="continuationSeparator" w:id="0">
    <w:p w14:paraId="5D2BB7B8" w14:textId="77777777" w:rsidR="00322054" w:rsidRDefault="00322054" w:rsidP="006E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E9B"/>
    <w:multiLevelType w:val="multilevel"/>
    <w:tmpl w:val="AFE8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B05290"/>
    <w:multiLevelType w:val="multilevel"/>
    <w:tmpl w:val="232841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3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0B4921"/>
    <w:multiLevelType w:val="hybridMultilevel"/>
    <w:tmpl w:val="77BA7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E9"/>
    <w:rsid w:val="000723DC"/>
    <w:rsid w:val="001C133F"/>
    <w:rsid w:val="002A0CE9"/>
    <w:rsid w:val="00322054"/>
    <w:rsid w:val="00343D8C"/>
    <w:rsid w:val="00353719"/>
    <w:rsid w:val="0041182B"/>
    <w:rsid w:val="00453E63"/>
    <w:rsid w:val="004767AB"/>
    <w:rsid w:val="004F54BD"/>
    <w:rsid w:val="005150B2"/>
    <w:rsid w:val="00515C1B"/>
    <w:rsid w:val="0054414E"/>
    <w:rsid w:val="005B35F3"/>
    <w:rsid w:val="00662E0F"/>
    <w:rsid w:val="006B58D1"/>
    <w:rsid w:val="006E724E"/>
    <w:rsid w:val="007526D0"/>
    <w:rsid w:val="00791BF5"/>
    <w:rsid w:val="007C3E3A"/>
    <w:rsid w:val="007D0C4D"/>
    <w:rsid w:val="007E21E1"/>
    <w:rsid w:val="00820137"/>
    <w:rsid w:val="008726A2"/>
    <w:rsid w:val="009566A7"/>
    <w:rsid w:val="009C4808"/>
    <w:rsid w:val="009D29DF"/>
    <w:rsid w:val="009D7F5F"/>
    <w:rsid w:val="00A16495"/>
    <w:rsid w:val="00B904F5"/>
    <w:rsid w:val="00C01746"/>
    <w:rsid w:val="00C07845"/>
    <w:rsid w:val="00D1648B"/>
    <w:rsid w:val="00D329F7"/>
    <w:rsid w:val="00D63BC7"/>
    <w:rsid w:val="00DA1A37"/>
    <w:rsid w:val="00DB134A"/>
    <w:rsid w:val="00E05EB6"/>
    <w:rsid w:val="00E075DD"/>
    <w:rsid w:val="00EC2133"/>
    <w:rsid w:val="00F0229F"/>
    <w:rsid w:val="00F57D58"/>
    <w:rsid w:val="00FB4AF9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54F21"/>
  <w15:chartTrackingRefBased/>
  <w15:docId w15:val="{FE9191FC-B24B-5442-A3C6-0348E9E8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8726A2"/>
    <w:pPr>
      <w:numPr>
        <w:numId w:val="3"/>
      </w:numPr>
      <w:pBdr>
        <w:top w:val="single" w:sz="12" w:space="0" w:color="3494BA" w:themeColor="accent1"/>
        <w:left w:val="single" w:sz="12" w:space="0" w:color="3494BA" w:themeColor="accent1"/>
        <w:bottom w:val="single" w:sz="12" w:space="0" w:color="3494BA" w:themeColor="accent1"/>
        <w:right w:val="single" w:sz="12" w:space="0" w:color="3494BA" w:themeColor="accent1"/>
      </w:pBdr>
      <w:shd w:val="clear" w:color="auto" w:fill="3494BA" w:themeFill="accent1"/>
      <w:outlineLvl w:val="0"/>
    </w:pPr>
    <w:rPr>
      <w:rFonts w:eastAsiaTheme="minorEastAsia"/>
      <w:caps/>
      <w:color w:val="FFFFFF" w:themeColor="background1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6A2"/>
    <w:pPr>
      <w:numPr>
        <w:ilvl w:val="1"/>
        <w:numId w:val="3"/>
      </w:num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26A2"/>
    <w:pPr>
      <w:numPr>
        <w:ilvl w:val="2"/>
      </w:numPr>
      <w:pBdr>
        <w:top w:val="single" w:sz="6" w:space="2" w:color="3494BA" w:themeColor="accent1"/>
        <w:left w:val="none" w:sz="0" w:space="0" w:color="auto"/>
        <w:bottom w:val="single" w:sz="6" w:space="0" w:color="3494BA" w:themeColor="accent1"/>
        <w:right w:val="none" w:sz="0" w:space="0" w:color="auto"/>
      </w:pBdr>
      <w:shd w:val="clear" w:color="auto" w:fill="F2F2F2" w:themeFill="background1" w:themeFillShade="F2"/>
      <w:spacing w:before="300"/>
      <w:outlineLvl w:val="2"/>
    </w:pPr>
    <w:rPr>
      <w:caps w:val="0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6A2"/>
    <w:pPr>
      <w:numPr>
        <w:ilvl w:val="5"/>
        <w:numId w:val="3"/>
      </w:numPr>
      <w:pBdr>
        <w:bottom w:val="dotted" w:sz="6" w:space="1" w:color="3494BA" w:themeColor="accent1"/>
      </w:pBdr>
      <w:spacing w:before="200"/>
      <w:outlineLvl w:val="5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6A2"/>
    <w:pPr>
      <w:numPr>
        <w:ilvl w:val="6"/>
        <w:numId w:val="3"/>
      </w:numPr>
      <w:spacing w:before="200"/>
      <w:outlineLvl w:val="6"/>
    </w:pPr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6A2"/>
    <w:pPr>
      <w:numPr>
        <w:ilvl w:val="7"/>
        <w:numId w:val="3"/>
      </w:numPr>
      <w:spacing w:before="200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6A2"/>
    <w:pPr>
      <w:numPr>
        <w:ilvl w:val="8"/>
        <w:numId w:val="3"/>
      </w:numPr>
      <w:spacing w:before="20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A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3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26A2"/>
    <w:rPr>
      <w:rFonts w:eastAsiaTheme="minorEastAsia"/>
      <w:caps/>
      <w:color w:val="FFFFFF" w:themeColor="background1"/>
      <w:sz w:val="20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726A2"/>
    <w:rPr>
      <w:rFonts w:eastAsiaTheme="minorEastAsia"/>
      <w:caps/>
      <w:spacing w:val="15"/>
      <w:sz w:val="20"/>
      <w:szCs w:val="20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726A2"/>
    <w:rPr>
      <w:rFonts w:eastAsiaTheme="minorEastAsia"/>
      <w:color w:val="1A495C" w:themeColor="accent1" w:themeShade="7F"/>
      <w:spacing w:val="15"/>
      <w:sz w:val="20"/>
      <w:szCs w:val="20"/>
      <w:shd w:val="clear" w:color="auto" w:fill="F2F2F2" w:themeFill="background1" w:themeFillShade="F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6A2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6A2"/>
    <w:rPr>
      <w:rFonts w:eastAsiaTheme="minorEastAsia"/>
      <w:caps/>
      <w:color w:val="276E8B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6A2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6A2"/>
    <w:rPr>
      <w:rFonts w:eastAsiaTheme="minorEastAsia"/>
      <w:i/>
      <w:iCs/>
      <w:cap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6" ma:contentTypeDescription="Create a new document." ma:contentTypeScope="" ma:versionID="ca3e25a1388fa45fe5f1b971e24d3832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b820548e50af4d3cad7b3a2213f11bc5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DF21-256E-4AA7-A6B7-B86BB8838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b37b-683d-4c6a-9e03-9d54a1b2f24b"/>
    <ds:schemaRef ds:uri="151a8f53-66b3-4ce8-bbd0-635be27f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50DA-51FE-45CC-A9B3-3B50B5A60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09969-2C42-4DAA-BCDA-47CE6A459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C6AA44-6C88-42BE-85A6-B0D7FC23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Ptak</dc:creator>
  <cp:keywords/>
  <dc:description/>
  <cp:lastModifiedBy>Lang, Julia Lea</cp:lastModifiedBy>
  <cp:revision>9</cp:revision>
  <dcterms:created xsi:type="dcterms:W3CDTF">2020-11-03T21:12:00Z</dcterms:created>
  <dcterms:modified xsi:type="dcterms:W3CDTF">2020-11-16T13:30:00Z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0x0101005DB9C0AF3A2BEF4CB7CE574724D90167</vt:lpwstr>
  </property>
</Properties>
</file>