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4AE8" w14:textId="7331C870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E665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SPIS TREŚCI NR 3/2021 WU </w:t>
      </w:r>
    </w:p>
    <w:p w14:paraId="57E3748F" w14:textId="4BFB862A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B56C889" w14:textId="1CF5DCB4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Artykuły naukowe:</w:t>
      </w:r>
    </w:p>
    <w:p w14:paraId="6A36769A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70E75C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688019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Marcin Krzemień, Paweł Wajda - </w:t>
      </w:r>
      <w:r w:rsidRPr="00E66582">
        <w:rPr>
          <w:rFonts w:ascii="Times New Roman" w:eastAsia="Times New Roman" w:hAnsi="Times New Roman" w:cs="Times New Roman"/>
          <w:color w:val="000000"/>
          <w:lang w:eastAsia="pl-PL"/>
        </w:rPr>
        <w:t>Konsekwencje potencjalnej niezgodności </w:t>
      </w:r>
      <w:r w:rsidRPr="00E665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Metodyki oceny odpowiedniości członków organów podmiotów nadzorowanych</w:t>
      </w:r>
      <w:r w:rsidRPr="00E66582">
        <w:rPr>
          <w:rFonts w:ascii="Times New Roman" w:eastAsia="Times New Roman" w:hAnsi="Times New Roman" w:cs="Times New Roman"/>
          <w:color w:val="000000"/>
          <w:lang w:eastAsia="pl-PL"/>
        </w:rPr>
        <w:t> opublikowanej przez Komisję Nadzoru Finansowego z prawem Unii Europejskiej </w:t>
      </w:r>
    </w:p>
    <w:p w14:paraId="68072A74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F48937" w14:textId="22DA7A02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  Katarzyna Małysa-Sulińska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gramStart"/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E66582">
        <w:rPr>
          <w:rFonts w:ascii="Times New Roman" w:eastAsia="Times New Roman" w:hAnsi="Times New Roman" w:cs="Times New Roman"/>
          <w:color w:val="000000"/>
          <w:lang w:eastAsia="pl-PL"/>
        </w:rPr>
        <w:t>Kwalifikacja</w:t>
      </w:r>
      <w:proofErr w:type="gramEnd"/>
      <w:r w:rsidRPr="00E66582">
        <w:rPr>
          <w:rFonts w:ascii="Times New Roman" w:eastAsia="Times New Roman" w:hAnsi="Times New Roman" w:cs="Times New Roman"/>
          <w:color w:val="000000"/>
          <w:lang w:eastAsia="pl-PL"/>
        </w:rPr>
        <w:t xml:space="preserve"> obiektu budowlanego jako budynku wchodzącego w skład gospodarstwa rolnego w rozumieniu przepisów o obowiązkowym ubezpieczeniu budynków rolniczych</w:t>
      </w: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41410475" w14:textId="1F20AB4D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54D18B" w14:textId="14E8122D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3. Joanna </w:t>
      </w:r>
      <w:proofErr w:type="spellStart"/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Rutecka-Góra</w:t>
      </w:r>
      <w:proofErr w:type="spellEnd"/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Edyta Rutkowska-Tomaszewska - </w:t>
      </w:r>
      <w:r w:rsidRPr="00E6658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Oprocentowanie i opłaty oraz zasady ich ustalania i zmian </w:t>
      </w:r>
      <w:r w:rsidRPr="00E66582">
        <w:rPr>
          <w:rFonts w:ascii="Times New Roman" w:hAnsi="Times New Roman" w:cs="Times New Roman"/>
          <w:bdr w:val="none" w:sz="0" w:space="0" w:color="auto" w:frame="1"/>
        </w:rPr>
        <w:t xml:space="preserve">w </w:t>
      </w:r>
      <w:r w:rsidRPr="00E6658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bankowych wzorcach umów o </w:t>
      </w:r>
      <w:r w:rsidRPr="00E66582">
        <w:rPr>
          <w:rFonts w:ascii="Times New Roman" w:hAnsi="Times New Roman" w:cs="Times New Roman"/>
        </w:rPr>
        <w:t xml:space="preserve">indywidualne produkty emerytalne </w:t>
      </w:r>
      <w:r w:rsidRPr="00E6658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w kontekście stosowania w nich n</w:t>
      </w:r>
      <w:r w:rsidRPr="00E66582">
        <w:rPr>
          <w:rFonts w:ascii="Times New Roman" w:hAnsi="Times New Roman" w:cs="Times New Roman"/>
          <w:bdr w:val="none" w:sz="0" w:space="0" w:color="auto" w:frame="1"/>
        </w:rPr>
        <w:t>iedozwolonych klauzul umownych</w:t>
      </w:r>
    </w:p>
    <w:p w14:paraId="2EF7C7EB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BD571D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 Bartosz Kucharski -</w:t>
      </w:r>
      <w:r w:rsidRPr="00E66582">
        <w:rPr>
          <w:rFonts w:ascii="Times New Roman" w:eastAsia="Times New Roman" w:hAnsi="Times New Roman" w:cs="Times New Roman"/>
          <w:color w:val="000000"/>
          <w:lang w:eastAsia="pl-PL"/>
        </w:rPr>
        <w:t> O granicach odszkodowania oraz „kreatywnej księgowości” ubezpieczycieli w umowie ubezpieczenia autocasco</w:t>
      </w:r>
    </w:p>
    <w:p w14:paraId="64C3DE15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2BB0DB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5. Monika </w:t>
      </w:r>
      <w:proofErr w:type="spellStart"/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Wałachowska</w:t>
      </w:r>
      <w:proofErr w:type="spellEnd"/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- </w:t>
      </w:r>
      <w:r w:rsidRPr="00E66582">
        <w:rPr>
          <w:rFonts w:ascii="Times New Roman" w:eastAsia="Times New Roman" w:hAnsi="Times New Roman" w:cs="Times New Roman"/>
          <w:color w:val="000000"/>
          <w:lang w:eastAsia="pl-PL"/>
        </w:rPr>
        <w:t>Koszty nieodpłatnej opieki nad poszkodowanym a zakres odpowiedzialności ubezpieczyciela za szkodę na osobie. Uwagi na tle uchwały 7 sędziów Sądu Najwyższego z 22 lipca 2020 roku (sygn. III CZP 31/19)</w:t>
      </w:r>
    </w:p>
    <w:p w14:paraId="2C2CAA9C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99EF79" w14:textId="7303D162" w:rsid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 Mariusz Zelek -</w:t>
      </w:r>
      <w:r w:rsidRPr="00E66582">
        <w:rPr>
          <w:rFonts w:ascii="Times New Roman" w:eastAsia="Times New Roman" w:hAnsi="Times New Roman" w:cs="Times New Roman"/>
          <w:color w:val="000000"/>
          <w:lang w:eastAsia="pl-PL"/>
        </w:rPr>
        <w:t> Początek biegu trzyletniego terminu przedawnienia roszczenia przeciwko ubezpieczycielowi o naprawienie szkody wyrządzonej czynem niedozwolonym</w:t>
      </w:r>
    </w:p>
    <w:p w14:paraId="74849C20" w14:textId="1E667DD3" w:rsidR="006A157C" w:rsidRDefault="006A157C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F5C76A" w14:textId="454D37CD" w:rsidR="006A157C" w:rsidRPr="00E66582" w:rsidRDefault="006A157C" w:rsidP="00E66582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A157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Glosy:</w:t>
      </w:r>
    </w:p>
    <w:p w14:paraId="5484D5C3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098DC2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7. Mateusz </w:t>
      </w:r>
      <w:proofErr w:type="spellStart"/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Kosmol</w:t>
      </w:r>
      <w:proofErr w:type="spellEnd"/>
      <w:r w:rsidRPr="00E665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- </w:t>
      </w:r>
      <w:r w:rsidRPr="00E66582">
        <w:rPr>
          <w:rFonts w:ascii="Times New Roman" w:eastAsia="Times New Roman" w:hAnsi="Times New Roman" w:cs="Times New Roman"/>
          <w:color w:val="000000"/>
          <w:lang w:eastAsia="pl-PL"/>
        </w:rPr>
        <w:t>Glosa do uchwały Sądu Najwyższego z dnia 15 lutego 2019 roku (III CZP 84/18) w sprawie kosztów najmu pojazdu zastępczego </w:t>
      </w:r>
    </w:p>
    <w:p w14:paraId="148FFEE1" w14:textId="77777777" w:rsidR="00E66582" w:rsidRPr="00E66582" w:rsidRDefault="00E66582" w:rsidP="00E6658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6582">
        <w:rPr>
          <w:rFonts w:ascii="Times New Roman" w:eastAsia="Times New Roman" w:hAnsi="Times New Roman" w:cs="Times New Roman"/>
          <w:color w:val="000000"/>
          <w:lang w:eastAsia="pl-PL"/>
        </w:rPr>
        <w:t>[Glosa aprobująca]</w:t>
      </w:r>
    </w:p>
    <w:p w14:paraId="00410627" w14:textId="77777777" w:rsidR="007D37DB" w:rsidRPr="00E66582" w:rsidRDefault="006A157C">
      <w:pPr>
        <w:rPr>
          <w:rFonts w:ascii="Times New Roman" w:hAnsi="Times New Roman" w:cs="Times New Roman"/>
        </w:rPr>
      </w:pPr>
    </w:p>
    <w:sectPr w:rsidR="007D37DB" w:rsidRPr="00E66582" w:rsidSect="00C906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82"/>
    <w:rsid w:val="006A157C"/>
    <w:rsid w:val="00854C3C"/>
    <w:rsid w:val="00C90669"/>
    <w:rsid w:val="00D975A0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EA0E"/>
  <w15:chartTrackingRefBased/>
  <w15:docId w15:val="{8FBF3F3C-F976-984C-9BFB-8432816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6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1199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2021-12-01T19:27:00Z</dcterms:created>
  <dcterms:modified xsi:type="dcterms:W3CDTF">2021-12-01T19:29:00Z</dcterms:modified>
</cp:coreProperties>
</file>